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2113"/>
        <w:gridCol w:w="4461"/>
        <w:gridCol w:w="3909"/>
        <w:gridCol w:w="3364"/>
      </w:tblGrid>
      <w:tr w:rsidR="00334F11" w:rsidRPr="00951163" w14:paraId="2034FBB0" w14:textId="77777777" w:rsidTr="000E43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EC27E2" w14:textId="77777777" w:rsidR="000E4315" w:rsidRPr="000E4315" w:rsidRDefault="000E4315" w:rsidP="000E4315">
            <w:pPr>
              <w:rPr>
                <w:b/>
                <w:bCs/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1. NIS2 Article</w:t>
            </w:r>
          </w:p>
        </w:tc>
        <w:tc>
          <w:tcPr>
            <w:tcW w:w="0" w:type="auto"/>
            <w:vAlign w:val="center"/>
            <w:hideMark/>
          </w:tcPr>
          <w:p w14:paraId="0BC2FE98" w14:textId="099948A8" w:rsidR="000E4315" w:rsidRPr="000E4315" w:rsidRDefault="000E4315" w:rsidP="000E4315">
            <w:pPr>
              <w:rPr>
                <w:b/>
                <w:bCs/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2. NIS2 theme / what </w:t>
            </w:r>
            <w:r w:rsidRPr="00951163">
              <w:rPr>
                <w:b/>
                <w:bCs/>
                <w:sz w:val="20"/>
                <w:szCs w:val="20"/>
              </w:rPr>
              <w:t>companies</w:t>
            </w:r>
            <w:r w:rsidRPr="000E4315">
              <w:rPr>
                <w:b/>
                <w:bCs/>
                <w:sz w:val="20"/>
                <w:szCs w:val="20"/>
              </w:rPr>
              <w:t xml:space="preserve"> look for</w:t>
            </w:r>
          </w:p>
        </w:tc>
        <w:tc>
          <w:tcPr>
            <w:tcW w:w="0" w:type="auto"/>
            <w:vAlign w:val="center"/>
            <w:hideMark/>
          </w:tcPr>
          <w:p w14:paraId="52ADB980" w14:textId="77777777" w:rsidR="000E4315" w:rsidRPr="000E4315" w:rsidRDefault="000E4315" w:rsidP="000E4315">
            <w:pPr>
              <w:rPr>
                <w:b/>
                <w:bCs/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3. Greek legislation &amp; sections</w:t>
            </w:r>
          </w:p>
        </w:tc>
        <w:tc>
          <w:tcPr>
            <w:tcW w:w="0" w:type="auto"/>
            <w:vAlign w:val="center"/>
            <w:hideMark/>
          </w:tcPr>
          <w:p w14:paraId="6DB24AC0" w14:textId="77777777" w:rsidR="000E4315" w:rsidRPr="000E4315" w:rsidRDefault="000E4315" w:rsidP="000E4315">
            <w:pPr>
              <w:rPr>
                <w:b/>
                <w:bCs/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4. What Greece expects in practice</w:t>
            </w:r>
          </w:p>
        </w:tc>
        <w:tc>
          <w:tcPr>
            <w:tcW w:w="0" w:type="auto"/>
            <w:vAlign w:val="center"/>
            <w:hideMark/>
          </w:tcPr>
          <w:p w14:paraId="6BEA8D20" w14:textId="6BE9952F" w:rsidR="000E4315" w:rsidRPr="000E4315" w:rsidRDefault="000E4315" w:rsidP="000E4315">
            <w:pPr>
              <w:rPr>
                <w:b/>
                <w:bCs/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5. Netop</w:t>
            </w:r>
            <w:r w:rsidRPr="00951163">
              <w:rPr>
                <w:b/>
                <w:bCs/>
                <w:sz w:val="20"/>
                <w:szCs w:val="20"/>
              </w:rPr>
              <w:t xml:space="preserve"> </w:t>
            </w:r>
            <w:r w:rsidRPr="000E4315">
              <w:rPr>
                <w:b/>
                <w:bCs/>
                <w:sz w:val="20"/>
                <w:szCs w:val="20"/>
              </w:rPr>
              <w:t>implementation</w:t>
            </w:r>
          </w:p>
        </w:tc>
      </w:tr>
      <w:tr w:rsidR="00334F11" w:rsidRPr="00951163" w14:paraId="65D9DB0D" w14:textId="77777777" w:rsidTr="000E43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85A8B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Art. 11(3)(a)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CSIRTs</w:t>
            </w:r>
            <w:r w:rsidRPr="000E4315">
              <w:rPr>
                <w:sz w:val="20"/>
                <w:szCs w:val="20"/>
              </w:rPr>
              <w:t>’</w:t>
            </w:r>
            <w:r w:rsidRPr="000E4315">
              <w:rPr>
                <w:sz w:val="20"/>
                <w:szCs w:val="20"/>
              </w:rPr>
              <w:t xml:space="preserve"> technical capabilities &amp; tasks</w:t>
            </w:r>
          </w:p>
        </w:tc>
        <w:tc>
          <w:tcPr>
            <w:tcW w:w="0" w:type="auto"/>
            <w:vAlign w:val="center"/>
            <w:hideMark/>
          </w:tcPr>
          <w:p w14:paraId="74A64489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National CSIRT can </w:t>
            </w:r>
            <w:proofErr w:type="gramStart"/>
            <w:r w:rsidRPr="000E4315">
              <w:rPr>
                <w:b/>
                <w:bCs/>
                <w:sz w:val="20"/>
                <w:szCs w:val="20"/>
              </w:rPr>
              <w:t>actually work</w:t>
            </w:r>
            <w:proofErr w:type="gramEnd"/>
            <w:r w:rsidRPr="000E4315">
              <w:rPr>
                <w:b/>
                <w:bCs/>
                <w:sz w:val="20"/>
                <w:szCs w:val="20"/>
              </w:rPr>
              <w:t xml:space="preserve"> with your evidence</w:t>
            </w:r>
            <w:r w:rsidRPr="000E4315">
              <w:rPr>
                <w:sz w:val="20"/>
                <w:szCs w:val="20"/>
              </w:rPr>
              <w:t>: logs, visibility into access, ability to coordinate response.</w:t>
            </w:r>
          </w:p>
        </w:tc>
        <w:tc>
          <w:tcPr>
            <w:tcW w:w="0" w:type="auto"/>
            <w:vAlign w:val="center"/>
            <w:hideMark/>
          </w:tcPr>
          <w:p w14:paraId="1FF76817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Law 5160/2024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Chapter on scope &amp; definitions sets up the </w:t>
            </w:r>
            <w:r w:rsidRPr="000E4315">
              <w:rPr>
                <w:b/>
                <w:bCs/>
                <w:sz w:val="20"/>
                <w:szCs w:val="20"/>
              </w:rPr>
              <w:t>National Cybersecurity Authority</w:t>
            </w:r>
            <w:r w:rsidRPr="000E4315">
              <w:rPr>
                <w:sz w:val="20"/>
                <w:szCs w:val="20"/>
              </w:rPr>
              <w:t xml:space="preserve">, national strategy, single point of contact and </w:t>
            </w:r>
            <w:r w:rsidRPr="000E4315">
              <w:rPr>
                <w:b/>
                <w:bCs/>
                <w:sz w:val="20"/>
                <w:szCs w:val="20"/>
              </w:rPr>
              <w:t>CSIRT</w:t>
            </w:r>
            <w:r w:rsidRPr="000E4315">
              <w:rPr>
                <w:sz w:val="20"/>
                <w:szCs w:val="20"/>
              </w:rPr>
              <w:t xml:space="preserve"> as part of the framework for incident handling and coordination.(</w:t>
            </w:r>
            <w:hyperlink r:id="rId6" w:tooltip="Νόμος 5160/2024 - ΦΕΚ 195/Α/27-11-2024" w:history="1">
              <w:r w:rsidRPr="000E4315">
                <w:rPr>
                  <w:rStyle w:val="Hyperlink"/>
                  <w:sz w:val="20"/>
                  <w:szCs w:val="20"/>
                </w:rPr>
                <w:t>e-</w:t>
              </w:r>
              <w:proofErr w:type="spellStart"/>
              <w:r w:rsidRPr="000E4315">
                <w:rPr>
                  <w:rStyle w:val="Hyperlink"/>
                  <w:sz w:val="20"/>
                  <w:szCs w:val="20"/>
                </w:rPr>
                <w:t>Nomothesia</w:t>
              </w:r>
              <w:proofErr w:type="spellEnd"/>
            </w:hyperlink>
            <w:r w:rsidRPr="000E4315">
              <w:rPr>
                <w:sz w:val="20"/>
                <w:szCs w:val="20"/>
              </w:rPr>
              <w:t>)</w:t>
            </w:r>
          </w:p>
          <w:p w14:paraId="1EC64AA6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Art. 16</w:t>
            </w:r>
            <w:r w:rsidRPr="000E4315">
              <w:rPr>
                <w:sz w:val="20"/>
                <w:szCs w:val="20"/>
              </w:rPr>
              <w:t xml:space="preserve"> of Law 5160 explicitly transposes NIS2 Art. 23 and anchors the role of CSIRT in receiving incident reports.(</w:t>
            </w:r>
            <w:hyperlink r:id="rId7" w:tooltip="ΕΦΗΜΕΡΙΔΑ ΤΗΣ ΚΥΒΕΡΝΗΣΕΩΣ" w:history="1">
              <w:r w:rsidRPr="000E4315">
                <w:rPr>
                  <w:rStyle w:val="Hyperlink"/>
                  <w:sz w:val="20"/>
                  <w:szCs w:val="20"/>
                </w:rPr>
                <w:t>ENISA</w:t>
              </w:r>
            </w:hyperlink>
            <w:r w:rsidRPr="000E4315">
              <w:rPr>
                <w:sz w:val="20"/>
                <w:szCs w:val="20"/>
              </w:rPr>
              <w:t>)</w:t>
            </w:r>
          </w:p>
          <w:p w14:paraId="109627D1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JMD 1689/2025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Art. 2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>3: holistic, risk-based measures and proportionality; Art. 3(3) requires extensive documentation (policies, procedures, network diagrams, BC plans, audit reports, etc.) as evidence for supervisory checks under Law 5160 Arts 24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>25</w:t>
            </w:r>
          </w:p>
          <w:p w14:paraId="27DE6664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Art. 18 &amp; related provisions: zero-day vulnerabilities must be disclosed to the competent </w:t>
            </w:r>
            <w:r w:rsidRPr="000E4315">
              <w:rPr>
                <w:b/>
                <w:bCs/>
                <w:sz w:val="20"/>
                <w:szCs w:val="20"/>
              </w:rPr>
              <w:t>CSIRT</w:t>
            </w:r>
            <w:r w:rsidRPr="000E4315">
              <w:rPr>
                <w:sz w:val="20"/>
                <w:szCs w:val="20"/>
              </w:rPr>
              <w:t xml:space="preserve"> per Law 5160 Art. 12, and entities must perform regular security tests and self-assessments</w:t>
            </w:r>
          </w:p>
          <w:p w14:paraId="29A024E5" w14:textId="675E4DE0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Cybersecurity Handbook</w:t>
            </w:r>
            <w:r w:rsidRPr="000E4315">
              <w:rPr>
                <w:sz w:val="20"/>
                <w:szCs w:val="20"/>
              </w:rPr>
              <w:t xml:space="preserve">: Part A introduces </w:t>
            </w:r>
            <w:proofErr w:type="spellStart"/>
            <w:r w:rsidRPr="000E4315">
              <w:rPr>
                <w:sz w:val="20"/>
                <w:szCs w:val="20"/>
              </w:rPr>
              <w:t>defense</w:t>
            </w:r>
            <w:proofErr w:type="spellEnd"/>
            <w:r w:rsidRPr="000E4315">
              <w:rPr>
                <w:sz w:val="20"/>
                <w:szCs w:val="20"/>
              </w:rPr>
              <w:t>-in-depth and zero-trust architectures with heavy emphasis on comprehensive logging and monitoring of access and configuration changes.</w:t>
            </w:r>
          </w:p>
        </w:tc>
        <w:tc>
          <w:tcPr>
            <w:tcW w:w="0" w:type="auto"/>
            <w:vAlign w:val="center"/>
            <w:hideMark/>
          </w:tcPr>
          <w:p w14:paraId="2B61F5B0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You must be able to </w:t>
            </w:r>
            <w:r w:rsidRPr="000E4315">
              <w:rPr>
                <w:b/>
                <w:bCs/>
                <w:sz w:val="20"/>
                <w:szCs w:val="20"/>
              </w:rPr>
              <w:t>generate and share meaningful technical evidence</w:t>
            </w:r>
            <w:r w:rsidRPr="000E4315">
              <w:rPr>
                <w:sz w:val="20"/>
                <w:szCs w:val="20"/>
              </w:rPr>
              <w:t xml:space="preserve"> (logs, remote access records, vulnerability info, test results) with CSIRT / NCA.</w:t>
            </w:r>
          </w:p>
          <w:p w14:paraId="6EEC4C03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Governance and documentation around cyber risk management will be checked against the criteria in </w:t>
            </w:r>
            <w:r w:rsidRPr="000E4315">
              <w:rPr>
                <w:b/>
                <w:bCs/>
                <w:sz w:val="20"/>
                <w:szCs w:val="20"/>
              </w:rPr>
              <w:t>Law 5160</w:t>
            </w:r>
            <w:r w:rsidRPr="000E4315">
              <w:rPr>
                <w:sz w:val="20"/>
                <w:szCs w:val="20"/>
              </w:rPr>
              <w:t xml:space="preserve"> and </w:t>
            </w:r>
            <w:r w:rsidRPr="000E4315">
              <w:rPr>
                <w:b/>
                <w:bCs/>
                <w:sz w:val="20"/>
                <w:szCs w:val="20"/>
              </w:rPr>
              <w:t>JMD 1689</w:t>
            </w:r>
            <w:r w:rsidRPr="000E4315">
              <w:rPr>
                <w:sz w:val="20"/>
                <w:szCs w:val="20"/>
              </w:rPr>
              <w:t xml:space="preserve"> (risk programme, evidence, board responsibility</w:t>
            </w:r>
            <w:r w:rsidRPr="00951163">
              <w:rPr>
                <w:sz w:val="20"/>
                <w:szCs w:val="20"/>
              </w:rPr>
              <w:t>)</w:t>
            </w:r>
          </w:p>
          <w:p w14:paraId="7FB43908" w14:textId="01A6969A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Handbook expectations: </w:t>
            </w:r>
            <w:proofErr w:type="spellStart"/>
            <w:r w:rsidRPr="000E4315">
              <w:rPr>
                <w:sz w:val="20"/>
                <w:szCs w:val="20"/>
              </w:rPr>
              <w:t>defense</w:t>
            </w:r>
            <w:proofErr w:type="spellEnd"/>
            <w:r w:rsidRPr="000E4315">
              <w:rPr>
                <w:sz w:val="20"/>
                <w:szCs w:val="20"/>
              </w:rPr>
              <w:t>-in-depth, zero-trust, continuous logging and monitoring, structured best practices (183 sub-controls) across access, logging, incident handling, etc.</w:t>
            </w:r>
          </w:p>
        </w:tc>
        <w:tc>
          <w:tcPr>
            <w:tcW w:w="0" w:type="auto"/>
            <w:vAlign w:val="center"/>
            <w:hideMark/>
          </w:tcPr>
          <w:p w14:paraId="79D132DF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Use </w:t>
            </w:r>
            <w:r w:rsidRPr="000E4315">
              <w:rPr>
                <w:b/>
                <w:bCs/>
                <w:sz w:val="20"/>
                <w:szCs w:val="20"/>
              </w:rPr>
              <w:t>Netop real-time remote access dashboard</w:t>
            </w:r>
            <w:r w:rsidRPr="000E4315">
              <w:rPr>
                <w:sz w:val="20"/>
                <w:szCs w:val="20"/>
              </w:rPr>
              <w:t xml:space="preserve"> to expose all online/offline endpoints, ongoing sessions and active permissions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ideal evidence to support CSIRT. </w:t>
            </w:r>
          </w:p>
          <w:p w14:paraId="705860F2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Use </w:t>
            </w:r>
            <w:r w:rsidRPr="000E4315">
              <w:rPr>
                <w:b/>
                <w:bCs/>
                <w:sz w:val="20"/>
                <w:szCs w:val="20"/>
              </w:rPr>
              <w:t>Netop kill-switch</w:t>
            </w:r>
            <w:r w:rsidRPr="000E4315">
              <w:rPr>
                <w:sz w:val="20"/>
                <w:szCs w:val="20"/>
              </w:rPr>
              <w:t xml:space="preserve"> to terminate suspicious sessions and revoke permissions during incident handling.</w:t>
            </w:r>
          </w:p>
          <w:p w14:paraId="3FFCF1ED" w14:textId="123402B4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Run </w:t>
            </w:r>
            <w:r w:rsidRPr="000E4315">
              <w:rPr>
                <w:b/>
                <w:bCs/>
                <w:sz w:val="20"/>
                <w:szCs w:val="20"/>
              </w:rPr>
              <w:t>regular permissions reviews</w:t>
            </w:r>
            <w:r w:rsidRPr="000E4315">
              <w:rPr>
                <w:sz w:val="20"/>
                <w:szCs w:val="20"/>
              </w:rPr>
              <w:t xml:space="preserve"> for secure remote access, aligning with risk-management and documentation requirements in JMD 1689.</w:t>
            </w:r>
          </w:p>
        </w:tc>
      </w:tr>
      <w:tr w:rsidR="00334F11" w:rsidRPr="00951163" w14:paraId="11CB2925" w14:textId="77777777" w:rsidTr="000E43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56646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Art. 21(2)(d)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Access control &amp; supply-chain security</w:t>
            </w:r>
          </w:p>
        </w:tc>
        <w:tc>
          <w:tcPr>
            <w:tcW w:w="0" w:type="auto"/>
            <w:vAlign w:val="center"/>
            <w:hideMark/>
          </w:tcPr>
          <w:p w14:paraId="5721827D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Limiting access to systems and data based on </w:t>
            </w:r>
            <w:r w:rsidRPr="000E4315">
              <w:rPr>
                <w:b/>
                <w:bCs/>
                <w:sz w:val="20"/>
                <w:szCs w:val="20"/>
              </w:rPr>
              <w:t>need-to-know / need-to-perform</w:t>
            </w:r>
            <w:r w:rsidRPr="000E4315">
              <w:rPr>
                <w:sz w:val="20"/>
                <w:szCs w:val="20"/>
              </w:rPr>
              <w:t>, including remote access by suppliers.</w:t>
            </w:r>
          </w:p>
        </w:tc>
        <w:tc>
          <w:tcPr>
            <w:tcW w:w="0" w:type="auto"/>
            <w:vAlign w:val="center"/>
            <w:hideMark/>
          </w:tcPr>
          <w:p w14:paraId="5C98FF17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JMD 1689/2025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ICT supply-chain risk (Art. ~12)</w:t>
            </w:r>
            <w:r w:rsidRPr="000E4315">
              <w:rPr>
                <w:sz w:val="20"/>
                <w:szCs w:val="20"/>
              </w:rPr>
              <w:t xml:space="preserve">: entities must keep a </w:t>
            </w:r>
            <w:r w:rsidRPr="000E4315">
              <w:rPr>
                <w:b/>
                <w:bCs/>
                <w:sz w:val="20"/>
                <w:szCs w:val="20"/>
              </w:rPr>
              <w:t>supplier register</w:t>
            </w:r>
            <w:r w:rsidRPr="000E4315">
              <w:rPr>
                <w:sz w:val="20"/>
                <w:szCs w:val="20"/>
              </w:rPr>
              <w:t xml:space="preserve"> with products/services and classify suppliers by criticality, manage risks connected to acquisition and lifecycle of ICT products and services (including cloud), set minimum evaluation criteria (cybersecurity level, </w:t>
            </w:r>
            <w:r w:rsidRPr="000E4315">
              <w:rPr>
                <w:b/>
                <w:bCs/>
                <w:sz w:val="20"/>
                <w:szCs w:val="20"/>
              </w:rPr>
              <w:t>certifications</w:t>
            </w:r>
            <w:r w:rsidRPr="000E4315">
              <w:rPr>
                <w:sz w:val="20"/>
                <w:szCs w:val="20"/>
              </w:rPr>
              <w:t xml:space="preserve">, auditability), define cybersecurity requirements in contracts, </w:t>
            </w:r>
            <w:r w:rsidRPr="000E4315">
              <w:rPr>
                <w:sz w:val="20"/>
                <w:szCs w:val="20"/>
              </w:rPr>
              <w:lastRenderedPageBreak/>
              <w:t>specify data and systems accessed, grant audit rights, and require secure contract termination (revoking access, securely deleting data, confidentiality)</w:t>
            </w:r>
          </w:p>
          <w:p w14:paraId="22DF756D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Basic entities must periodically review supplier policies; basic entities have </w:t>
            </w:r>
            <w:r w:rsidRPr="000E4315">
              <w:rPr>
                <w:b/>
                <w:bCs/>
                <w:sz w:val="20"/>
                <w:szCs w:val="20"/>
              </w:rPr>
              <w:t>enhanced requirements</w:t>
            </w:r>
            <w:r w:rsidRPr="000E4315">
              <w:rPr>
                <w:sz w:val="20"/>
                <w:szCs w:val="20"/>
              </w:rPr>
              <w:t xml:space="preserve"> for critical suppliers and must extend requirements into the broader supply chain (subcontractors)</w:t>
            </w:r>
          </w:p>
          <w:p w14:paraId="664F22DF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Art. 13</w:t>
            </w:r>
            <w:r w:rsidRPr="000E4315">
              <w:rPr>
                <w:sz w:val="20"/>
                <w:szCs w:val="20"/>
              </w:rPr>
              <w:t xml:space="preserve"> of JMD 1689: entities must define policies and procedures for logical access control, for their own staff and </w:t>
            </w:r>
            <w:r w:rsidRPr="000E4315">
              <w:rPr>
                <w:b/>
                <w:bCs/>
                <w:sz w:val="20"/>
                <w:szCs w:val="20"/>
              </w:rPr>
              <w:t>third-party personnel (suppliers, ICT providers)</w:t>
            </w:r>
            <w:r w:rsidRPr="000E4315">
              <w:rPr>
                <w:sz w:val="20"/>
                <w:szCs w:val="20"/>
              </w:rPr>
              <w:t>, based on business needs and security requirements; each user gets a unique identity</w:t>
            </w:r>
          </w:p>
          <w:p w14:paraId="3B97E760" w14:textId="2656AD9D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Cybersecurity Handbook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Part B chapters: 4 (Access control), 10 (Teleworking), 13 (Supply chain risk management)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give concrete good practices for least privilege, supplier access, and remote work.</w:t>
            </w:r>
          </w:p>
        </w:tc>
        <w:tc>
          <w:tcPr>
            <w:tcW w:w="0" w:type="auto"/>
            <w:vAlign w:val="center"/>
            <w:hideMark/>
          </w:tcPr>
          <w:p w14:paraId="7A0C2EB9" w14:textId="58E44B4A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A </w:t>
            </w:r>
            <w:r w:rsidRPr="000E4315">
              <w:rPr>
                <w:b/>
                <w:bCs/>
                <w:sz w:val="20"/>
                <w:szCs w:val="20"/>
              </w:rPr>
              <w:t>formal, risk-based supplier management framework</w:t>
            </w:r>
            <w:r w:rsidRPr="000E4315">
              <w:rPr>
                <w:sz w:val="20"/>
                <w:szCs w:val="20"/>
              </w:rPr>
              <w:t xml:space="preserve"> is expected: register and classify ICT suppliers, define security requirements, integrate them into contracts, and manage full lifecycle including termination</w:t>
            </w:r>
          </w:p>
          <w:p w14:paraId="3018BE04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Access to production systems and critical data by staff and suppliers must be </w:t>
            </w:r>
            <w:r w:rsidRPr="000E4315">
              <w:rPr>
                <w:b/>
                <w:bCs/>
                <w:sz w:val="20"/>
                <w:szCs w:val="20"/>
              </w:rPr>
              <w:t>role-based, least-privilege, documented and reviewable</w:t>
            </w:r>
            <w:r w:rsidRPr="000E4315">
              <w:rPr>
                <w:sz w:val="20"/>
                <w:szCs w:val="20"/>
              </w:rPr>
              <w:t>.</w:t>
            </w:r>
          </w:p>
          <w:p w14:paraId="4D943247" w14:textId="6F12677B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>Remote access, including teleworking and external service providers, must be covered by explicit policies and technical controls (Handbook chapters on Access control, Teleworking, Supply chain).</w:t>
            </w:r>
          </w:p>
        </w:tc>
        <w:tc>
          <w:tcPr>
            <w:tcW w:w="0" w:type="auto"/>
            <w:vAlign w:val="center"/>
            <w:hideMark/>
          </w:tcPr>
          <w:p w14:paraId="1476C8DD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Group supplier devices and staff by </w:t>
            </w:r>
            <w:r w:rsidRPr="000E4315">
              <w:rPr>
                <w:b/>
                <w:bCs/>
                <w:sz w:val="20"/>
                <w:szCs w:val="20"/>
              </w:rPr>
              <w:t>criticality, geography, certifications, residence</w:t>
            </w:r>
            <w:r w:rsidRPr="000E4315">
              <w:rPr>
                <w:sz w:val="20"/>
                <w:szCs w:val="20"/>
              </w:rPr>
              <w:t xml:space="preserve"> and need-to-know/perform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</w:t>
            </w:r>
            <w:proofErr w:type="gramStart"/>
            <w:r w:rsidRPr="000E4315">
              <w:rPr>
                <w:sz w:val="20"/>
                <w:szCs w:val="20"/>
              </w:rPr>
              <w:t>this maps</w:t>
            </w:r>
            <w:proofErr w:type="gramEnd"/>
            <w:r w:rsidRPr="000E4315">
              <w:rPr>
                <w:sz w:val="20"/>
                <w:szCs w:val="20"/>
              </w:rPr>
              <w:t xml:space="preserve"> nicely onto JMD 1689</w:t>
            </w:r>
            <w:r w:rsidRPr="000E4315">
              <w:rPr>
                <w:sz w:val="20"/>
                <w:szCs w:val="20"/>
              </w:rPr>
              <w:t>’</w:t>
            </w:r>
            <w:r w:rsidRPr="000E4315">
              <w:rPr>
                <w:sz w:val="20"/>
                <w:szCs w:val="20"/>
              </w:rPr>
              <w:t>s supplier classification and criticality concepts.</w:t>
            </w:r>
          </w:p>
          <w:p w14:paraId="64B22924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Restrict actions per session by </w:t>
            </w:r>
            <w:r w:rsidRPr="000E4315">
              <w:rPr>
                <w:b/>
                <w:bCs/>
                <w:sz w:val="20"/>
                <w:szCs w:val="20"/>
              </w:rPr>
              <w:t>time window</w:t>
            </w:r>
            <w:r w:rsidRPr="000E4315">
              <w:rPr>
                <w:sz w:val="20"/>
                <w:szCs w:val="20"/>
              </w:rPr>
              <w:t xml:space="preserve">, work certification and </w:t>
            </w:r>
            <w:r w:rsidRPr="000E4315">
              <w:rPr>
                <w:b/>
                <w:bCs/>
                <w:sz w:val="20"/>
                <w:szCs w:val="20"/>
              </w:rPr>
              <w:t>four-eyes supervision</w:t>
            </w:r>
            <w:r w:rsidRPr="000E4315">
              <w:rPr>
                <w:sz w:val="20"/>
                <w:szCs w:val="20"/>
              </w:rPr>
              <w:t>.</w:t>
            </w:r>
          </w:p>
          <w:p w14:paraId="1CA02F0D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Grant access at </w:t>
            </w:r>
            <w:r w:rsidRPr="000E4315">
              <w:rPr>
                <w:b/>
                <w:bCs/>
                <w:sz w:val="20"/>
                <w:szCs w:val="20"/>
              </w:rPr>
              <w:t>application level</w:t>
            </w:r>
            <w:r w:rsidRPr="000E4315">
              <w:rPr>
                <w:sz w:val="20"/>
                <w:szCs w:val="20"/>
              </w:rPr>
              <w:t xml:space="preserve"> instead of broad network access.</w:t>
            </w:r>
          </w:p>
          <w:p w14:paraId="5AE80A53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Use </w:t>
            </w:r>
            <w:r w:rsidRPr="000E4315">
              <w:rPr>
                <w:b/>
                <w:bCs/>
                <w:sz w:val="20"/>
                <w:szCs w:val="20"/>
              </w:rPr>
              <w:t>human approval workflows</w:t>
            </w:r>
            <w:r w:rsidRPr="000E4315">
              <w:rPr>
                <w:sz w:val="20"/>
                <w:szCs w:val="20"/>
              </w:rPr>
              <w:t xml:space="preserve"> (screen pop-up / email approval) for supplier sessions.</w:t>
            </w:r>
          </w:p>
          <w:p w14:paraId="4959B6EB" w14:textId="225CBDBF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Use </w:t>
            </w:r>
            <w:r w:rsidRPr="000E4315">
              <w:rPr>
                <w:b/>
                <w:bCs/>
                <w:sz w:val="20"/>
                <w:szCs w:val="20"/>
              </w:rPr>
              <w:t>IP fencing</w:t>
            </w:r>
            <w:r w:rsidRPr="000E4315">
              <w:rPr>
                <w:sz w:val="20"/>
                <w:szCs w:val="20"/>
              </w:rPr>
              <w:t xml:space="preserve"> to only allow remote access from approved locations / networks.</w:t>
            </w:r>
          </w:p>
        </w:tc>
      </w:tr>
      <w:tr w:rsidR="00334F11" w:rsidRPr="00951163" w14:paraId="1C83B803" w14:textId="77777777" w:rsidTr="000E43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626C4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lastRenderedPageBreak/>
              <w:t>Art. 21(2)(e)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Policies, governance &amp; risk management</w:t>
            </w:r>
          </w:p>
        </w:tc>
        <w:tc>
          <w:tcPr>
            <w:tcW w:w="0" w:type="auto"/>
            <w:vAlign w:val="center"/>
            <w:hideMark/>
          </w:tcPr>
          <w:p w14:paraId="3339FB21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Cybersecurity risk management, including remote access &amp; supply chain, is </w:t>
            </w:r>
            <w:r w:rsidRPr="000E4315">
              <w:rPr>
                <w:b/>
                <w:bCs/>
                <w:sz w:val="20"/>
                <w:szCs w:val="20"/>
              </w:rPr>
              <w:t>embedded in governance</w:t>
            </w:r>
            <w:r w:rsidRPr="000E4315">
              <w:rPr>
                <w:sz w:val="20"/>
                <w:szCs w:val="20"/>
              </w:rPr>
              <w:t xml:space="preserve"> with clear management responsibility.</w:t>
            </w:r>
          </w:p>
        </w:tc>
        <w:tc>
          <w:tcPr>
            <w:tcW w:w="0" w:type="auto"/>
            <w:vAlign w:val="center"/>
            <w:hideMark/>
          </w:tcPr>
          <w:p w14:paraId="500267B1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Law 5160/2024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sets an overarching obligation to implement NIS2 risk-management measures and reporting duties for entities in scope.</w:t>
            </w:r>
          </w:p>
          <w:p w14:paraId="221F7FC2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JMD 1689 Art. 1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>3</w:t>
            </w:r>
            <w:r w:rsidRPr="000E4315">
              <w:rPr>
                <w:sz w:val="20"/>
                <w:szCs w:val="20"/>
              </w:rPr>
              <w:t>: define the national cybersecurity requirements framework and a holistic, risk-based, proportional approach, applying to basic and important entities under Law 5160.</w:t>
            </w:r>
          </w:p>
          <w:p w14:paraId="392D9F83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Art. 4 JMD 1689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Top management obligations</w:t>
            </w:r>
            <w:r w:rsidRPr="000E4315">
              <w:rPr>
                <w:sz w:val="20"/>
                <w:szCs w:val="20"/>
              </w:rPr>
              <w:t xml:space="preserve">: the highest governing body must establish and </w:t>
            </w:r>
            <w:r w:rsidRPr="000E4315">
              <w:rPr>
                <w:sz w:val="20"/>
                <w:szCs w:val="20"/>
              </w:rPr>
              <w:lastRenderedPageBreak/>
              <w:t xml:space="preserve">approve a </w:t>
            </w:r>
            <w:r w:rsidRPr="000E4315">
              <w:rPr>
                <w:b/>
                <w:bCs/>
                <w:sz w:val="20"/>
                <w:szCs w:val="20"/>
              </w:rPr>
              <w:t>comprehensive cyber risk management programme</w:t>
            </w:r>
            <w:r w:rsidRPr="000E4315">
              <w:rPr>
                <w:sz w:val="20"/>
                <w:szCs w:val="20"/>
              </w:rPr>
              <w:t>, covering policies, procedures, assignment of roles and responsibilities, and a concrete set of technical, organisational and operational measures; it must ensure resources, awareness, documentation and is accountable under Law 5160 Art. 14 for deficient implementation</w:t>
            </w:r>
          </w:p>
          <w:p w14:paraId="5263F73B" w14:textId="3527211A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Cybersecurity Handbook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Part A explains how to build an information security management system based on risk assessment; Part B provides 18 control families (inventory, configuration, access control, teleworking, supply chain, logs, incident handling, BC/DR).</w:t>
            </w:r>
          </w:p>
        </w:tc>
        <w:tc>
          <w:tcPr>
            <w:tcW w:w="0" w:type="auto"/>
            <w:vAlign w:val="center"/>
            <w:hideMark/>
          </w:tcPr>
          <w:p w14:paraId="114DEC48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>•</w:t>
            </w:r>
            <w:r w:rsidRPr="000E4315">
              <w:rPr>
                <w:sz w:val="20"/>
                <w:szCs w:val="20"/>
              </w:rPr>
              <w:t xml:space="preserve"> Supervisors will ask for a </w:t>
            </w:r>
            <w:r w:rsidRPr="000E4315">
              <w:rPr>
                <w:b/>
                <w:bCs/>
                <w:sz w:val="20"/>
                <w:szCs w:val="20"/>
              </w:rPr>
              <w:t>documented cyber risk management programme</w:t>
            </w:r>
            <w:r w:rsidRPr="000E4315">
              <w:rPr>
                <w:sz w:val="20"/>
                <w:szCs w:val="20"/>
              </w:rPr>
              <w:t xml:space="preserve"> approved at top level, clearly assigning responsibilities and covering remote access, suppliers and teleworking. </w:t>
            </w:r>
            <w:r w:rsidRPr="000E4315">
              <w:rPr>
                <w:sz w:val="20"/>
                <w:szCs w:val="20"/>
              </w:rPr>
              <w:t>•</w:t>
            </w:r>
            <w:r w:rsidRPr="000E4315">
              <w:rPr>
                <w:sz w:val="20"/>
                <w:szCs w:val="20"/>
              </w:rPr>
              <w:t xml:space="preserve"> They will expect </w:t>
            </w:r>
            <w:r w:rsidRPr="000E4315">
              <w:rPr>
                <w:b/>
                <w:bCs/>
                <w:sz w:val="20"/>
                <w:szCs w:val="20"/>
              </w:rPr>
              <w:t>evidence</w:t>
            </w:r>
            <w:r w:rsidRPr="000E4315">
              <w:rPr>
                <w:sz w:val="20"/>
                <w:szCs w:val="20"/>
              </w:rPr>
              <w:t>: policies, board minutes, risk assessments, network diagrams, BC/DR plans, training records, periodic reviews and security test reports, as explicitly listed in JMD 1689 Art. 3(3).</w:t>
            </w:r>
          </w:p>
          <w:p w14:paraId="60106EE5" w14:textId="00B3EB13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Governance also needs to reflect Handbook practice: </w:t>
            </w:r>
            <w:proofErr w:type="spellStart"/>
            <w:r w:rsidRPr="000E4315">
              <w:rPr>
                <w:sz w:val="20"/>
                <w:szCs w:val="20"/>
              </w:rPr>
              <w:t>defense</w:t>
            </w:r>
            <w:proofErr w:type="spellEnd"/>
            <w:r w:rsidRPr="000E4315">
              <w:rPr>
                <w:sz w:val="20"/>
                <w:szCs w:val="20"/>
              </w:rPr>
              <w:t>-in-depth, zero-trust mindset, systematic treatment of all 18 control families.</w:t>
            </w:r>
          </w:p>
        </w:tc>
        <w:tc>
          <w:tcPr>
            <w:tcW w:w="0" w:type="auto"/>
            <w:vAlign w:val="center"/>
            <w:hideMark/>
          </w:tcPr>
          <w:p w14:paraId="7CBEF2A4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lastRenderedPageBreak/>
              <w:t xml:space="preserve">Netop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NIS2 Art. 21(2)(e)</w:t>
            </w:r>
            <w:r w:rsidRPr="000E4315">
              <w:rPr>
                <w:sz w:val="20"/>
                <w:szCs w:val="20"/>
              </w:rPr>
              <w:t>:(</w:t>
            </w:r>
            <w:hyperlink r:id="rId8" w:tooltip="How Netop can help customers meet NIS2 Directive requirements in the EU | AWS Partner Network (APN) Blog" w:history="1">
              <w:r w:rsidRPr="000E4315">
                <w:rPr>
                  <w:rStyle w:val="Hyperlink"/>
                  <w:sz w:val="20"/>
                  <w:szCs w:val="20"/>
                </w:rPr>
                <w:t>Amazon Web Services, Inc.</w:t>
              </w:r>
            </w:hyperlink>
            <w:r w:rsidRPr="000E4315">
              <w:rPr>
                <w:sz w:val="20"/>
                <w:szCs w:val="20"/>
              </w:rPr>
              <w:t xml:space="preserve">) </w:t>
            </w:r>
            <w:r w:rsidRPr="000E4315">
              <w:rPr>
                <w:sz w:val="20"/>
                <w:szCs w:val="20"/>
              </w:rPr>
              <w:t>•</w:t>
            </w:r>
            <w:r w:rsidRPr="000E4315">
              <w:rPr>
                <w:sz w:val="20"/>
                <w:szCs w:val="20"/>
              </w:rPr>
              <w:t xml:space="preserve"> Make </w:t>
            </w:r>
            <w:r w:rsidRPr="000E4315">
              <w:rPr>
                <w:b/>
                <w:bCs/>
                <w:sz w:val="20"/>
                <w:szCs w:val="20"/>
              </w:rPr>
              <w:t>remote access (esp. supply-chain)</w:t>
            </w:r>
            <w:r w:rsidRPr="000E4315">
              <w:rPr>
                <w:sz w:val="20"/>
                <w:szCs w:val="20"/>
              </w:rPr>
              <w:t xml:space="preserve"> an explicit part of your cybersecurity policies and NIS2 governance framework. </w:t>
            </w:r>
            <w:r w:rsidRPr="000E4315">
              <w:rPr>
                <w:sz w:val="20"/>
                <w:szCs w:val="20"/>
              </w:rPr>
              <w:t>•</w:t>
            </w:r>
            <w:r w:rsidRPr="000E4315">
              <w:rPr>
                <w:sz w:val="20"/>
                <w:szCs w:val="20"/>
              </w:rPr>
              <w:t xml:space="preserve"> Reduce attack surface by </w:t>
            </w:r>
            <w:r w:rsidRPr="000E4315">
              <w:rPr>
                <w:b/>
                <w:bCs/>
                <w:sz w:val="20"/>
                <w:szCs w:val="20"/>
              </w:rPr>
              <w:t>minimising VPN-like point-to-network access</w:t>
            </w:r>
            <w:r w:rsidRPr="000E4315">
              <w:rPr>
                <w:sz w:val="20"/>
                <w:szCs w:val="20"/>
              </w:rPr>
              <w:t xml:space="preserve"> and favouring </w:t>
            </w:r>
            <w:r w:rsidRPr="000E4315">
              <w:rPr>
                <w:b/>
                <w:bCs/>
                <w:sz w:val="20"/>
                <w:szCs w:val="20"/>
              </w:rPr>
              <w:t>Netop point-to-point</w:t>
            </w:r>
            <w:r w:rsidRPr="000E4315">
              <w:rPr>
                <w:sz w:val="20"/>
                <w:szCs w:val="20"/>
              </w:rPr>
              <w:t xml:space="preserve"> controls.</w:t>
            </w:r>
          </w:p>
          <w:p w14:paraId="2DEA1973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Implement </w:t>
            </w:r>
            <w:r w:rsidRPr="000E4315">
              <w:rPr>
                <w:b/>
                <w:bCs/>
                <w:sz w:val="20"/>
                <w:szCs w:val="20"/>
              </w:rPr>
              <w:t>full session recording</w:t>
            </w:r>
            <w:r w:rsidRPr="000E4315">
              <w:rPr>
                <w:sz w:val="20"/>
                <w:szCs w:val="20"/>
              </w:rPr>
              <w:t xml:space="preserve"> (keyboard, video, mouse) for supplier </w:t>
            </w:r>
            <w:r w:rsidRPr="000E4315">
              <w:rPr>
                <w:sz w:val="20"/>
                <w:szCs w:val="20"/>
              </w:rPr>
              <w:lastRenderedPageBreak/>
              <w:t>activity to support governance, oversight and post-incident review.</w:t>
            </w:r>
          </w:p>
          <w:p w14:paraId="717B2693" w14:textId="29369475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Block </w:t>
            </w:r>
            <w:r w:rsidRPr="000E4315">
              <w:rPr>
                <w:sz w:val="20"/>
                <w:szCs w:val="20"/>
              </w:rPr>
              <w:t>“</w:t>
            </w:r>
            <w:r w:rsidRPr="000E4315">
              <w:rPr>
                <w:sz w:val="20"/>
                <w:szCs w:val="20"/>
              </w:rPr>
              <w:t>open</w:t>
            </w:r>
            <w:r w:rsidRPr="000E4315">
              <w:rPr>
                <w:sz w:val="20"/>
                <w:szCs w:val="20"/>
              </w:rPr>
              <w:t>”</w:t>
            </w:r>
            <w:r w:rsidRPr="000E4315">
              <w:rPr>
                <w:sz w:val="20"/>
                <w:szCs w:val="20"/>
              </w:rPr>
              <w:t xml:space="preserve"> legacy protocols (RDP, VNC, Telnet, SSH) at network level and replace them with controlled Netop channels.</w:t>
            </w:r>
          </w:p>
        </w:tc>
      </w:tr>
      <w:tr w:rsidR="00334F11" w:rsidRPr="00951163" w14:paraId="26C35760" w14:textId="77777777" w:rsidTr="000E43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70011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Art. 21(2)(h)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Encryption</w:t>
            </w:r>
          </w:p>
        </w:tc>
        <w:tc>
          <w:tcPr>
            <w:tcW w:w="0" w:type="auto"/>
            <w:vAlign w:val="center"/>
            <w:hideMark/>
          </w:tcPr>
          <w:p w14:paraId="4D0A4FC3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Appropriate use of </w:t>
            </w:r>
            <w:r w:rsidRPr="000E4315">
              <w:rPr>
                <w:b/>
                <w:bCs/>
                <w:sz w:val="20"/>
                <w:szCs w:val="20"/>
              </w:rPr>
              <w:t>cryptography</w:t>
            </w:r>
            <w:r w:rsidRPr="000E4315">
              <w:rPr>
                <w:sz w:val="20"/>
                <w:szCs w:val="20"/>
              </w:rPr>
              <w:t xml:space="preserve"> for data in transit and at rest (including remote access and logs).</w:t>
            </w:r>
          </w:p>
        </w:tc>
        <w:tc>
          <w:tcPr>
            <w:tcW w:w="0" w:type="auto"/>
            <w:vAlign w:val="center"/>
            <w:hideMark/>
          </w:tcPr>
          <w:p w14:paraId="65C7C3EC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JMD 1689/2025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general risk-management measures are expected to translate into appropriate technical safeguards (including cryptography) for networks, systems and their environment, in line with NIS2 and Commission Implementing Regulation 2024/2690 on technical requirements.</w:t>
            </w:r>
          </w:p>
          <w:p w14:paraId="1FA2BF89" w14:textId="49128010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Cybersecurity Handbook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Ch. 11 </w:t>
            </w:r>
            <w:r w:rsidRPr="000E4315">
              <w:rPr>
                <w:b/>
                <w:bCs/>
                <w:sz w:val="20"/>
                <w:szCs w:val="20"/>
              </w:rPr>
              <w:t>“</w:t>
            </w:r>
            <w:r w:rsidRPr="000E4315">
              <w:rPr>
                <w:b/>
                <w:bCs/>
                <w:sz w:val="20"/>
                <w:szCs w:val="20"/>
              </w:rPr>
              <w:t>Use of cryptography</w:t>
            </w:r>
            <w:r w:rsidRPr="000E4315">
              <w:rPr>
                <w:b/>
                <w:bCs/>
                <w:sz w:val="20"/>
                <w:szCs w:val="20"/>
              </w:rPr>
              <w:t>”</w:t>
            </w:r>
            <w:r w:rsidRPr="000E4315">
              <w:rPr>
                <w:sz w:val="20"/>
                <w:szCs w:val="20"/>
              </w:rPr>
              <w:t>: defines best practices for use of cryptographic controls, selection of algorithms, key management and protection of stored and transmitted data, including backups and remote communications.</w:t>
            </w:r>
          </w:p>
        </w:tc>
        <w:tc>
          <w:tcPr>
            <w:tcW w:w="0" w:type="auto"/>
            <w:vAlign w:val="center"/>
            <w:hideMark/>
          </w:tcPr>
          <w:p w14:paraId="3AA76B74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You must be able to </w:t>
            </w:r>
            <w:r w:rsidRPr="000E4315">
              <w:rPr>
                <w:b/>
                <w:bCs/>
                <w:sz w:val="20"/>
                <w:szCs w:val="20"/>
              </w:rPr>
              <w:t>justify encryption choices</w:t>
            </w:r>
            <w:r w:rsidRPr="000E4315">
              <w:rPr>
                <w:sz w:val="20"/>
                <w:szCs w:val="20"/>
              </w:rPr>
              <w:t xml:space="preserve"> (protocols, algorithms, key management) in your risk-management programme and show they are appropriate for the data and services at stake.</w:t>
            </w:r>
          </w:p>
          <w:p w14:paraId="419AC07D" w14:textId="03B10F5F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Traffic for remote access, as well as logs and recordings relevant for incidents, must be </w:t>
            </w:r>
            <w:r w:rsidRPr="000E4315">
              <w:rPr>
                <w:b/>
                <w:bCs/>
                <w:sz w:val="20"/>
                <w:szCs w:val="20"/>
              </w:rPr>
              <w:t>protected against interception and tampering</w:t>
            </w:r>
            <w:r w:rsidRPr="000E4315">
              <w:rPr>
                <w:sz w:val="20"/>
                <w:szCs w:val="20"/>
              </w:rPr>
              <w:t xml:space="preserve"> using sound cryptographic practice (per the Handbook).</w:t>
            </w:r>
          </w:p>
        </w:tc>
        <w:tc>
          <w:tcPr>
            <w:tcW w:w="0" w:type="auto"/>
            <w:vAlign w:val="center"/>
            <w:hideMark/>
          </w:tcPr>
          <w:p w14:paraId="48E25495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Use </w:t>
            </w:r>
            <w:proofErr w:type="spellStart"/>
            <w:r w:rsidRPr="000E4315">
              <w:rPr>
                <w:b/>
                <w:bCs/>
                <w:sz w:val="20"/>
                <w:szCs w:val="20"/>
              </w:rPr>
              <w:t>Netop</w:t>
            </w:r>
            <w:r w:rsidRPr="000E4315">
              <w:rPr>
                <w:b/>
                <w:bCs/>
                <w:sz w:val="20"/>
                <w:szCs w:val="20"/>
              </w:rPr>
              <w:t>’</w:t>
            </w:r>
            <w:r w:rsidRPr="000E4315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Pr="000E4315">
              <w:rPr>
                <w:b/>
                <w:bCs/>
                <w:sz w:val="20"/>
                <w:szCs w:val="20"/>
              </w:rPr>
              <w:t xml:space="preserve"> recognised encryption standards</w:t>
            </w:r>
            <w:r w:rsidRPr="000E4315">
              <w:rPr>
                <w:sz w:val="20"/>
                <w:szCs w:val="20"/>
              </w:rPr>
              <w:t xml:space="preserve"> for cloud communication and session protocols.</w:t>
            </w:r>
          </w:p>
          <w:p w14:paraId="32797E4C" w14:textId="383AF553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Encrypt </w:t>
            </w:r>
            <w:r w:rsidRPr="000E4315">
              <w:rPr>
                <w:b/>
                <w:bCs/>
                <w:sz w:val="20"/>
                <w:szCs w:val="20"/>
              </w:rPr>
              <w:t>session traffic in transit</w:t>
            </w:r>
            <w:r w:rsidRPr="000E4315">
              <w:rPr>
                <w:sz w:val="20"/>
                <w:szCs w:val="20"/>
              </w:rPr>
              <w:t xml:space="preserve"> and </w:t>
            </w:r>
            <w:r w:rsidRPr="000E4315">
              <w:rPr>
                <w:b/>
                <w:bCs/>
                <w:sz w:val="20"/>
                <w:szCs w:val="20"/>
              </w:rPr>
              <w:t>recordings/log data at rest</w:t>
            </w:r>
            <w:r w:rsidRPr="000E4315">
              <w:rPr>
                <w:sz w:val="20"/>
                <w:szCs w:val="20"/>
              </w:rPr>
              <w:t xml:space="preserve"> through Netop plus AWS storage/KMS.</w:t>
            </w:r>
          </w:p>
          <w:p w14:paraId="68D74D74" w14:textId="1120CD8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Treat remote session recordings as </w:t>
            </w:r>
            <w:r w:rsidRPr="000E4315">
              <w:rPr>
                <w:b/>
                <w:bCs/>
                <w:sz w:val="20"/>
                <w:szCs w:val="20"/>
              </w:rPr>
              <w:t>forensic evidence</w:t>
            </w:r>
            <w:r w:rsidRPr="000E4315">
              <w:rPr>
                <w:sz w:val="20"/>
                <w:szCs w:val="20"/>
              </w:rPr>
              <w:t xml:space="preserve"> and protect them with tamper-resistant, encrypted storage.</w:t>
            </w:r>
          </w:p>
        </w:tc>
      </w:tr>
      <w:tr w:rsidR="00334F11" w:rsidRPr="00951163" w14:paraId="48906B65" w14:textId="77777777" w:rsidTr="000E43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BB77F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Art. 21(2)(</w:t>
            </w:r>
            <w:proofErr w:type="spellStart"/>
            <w:r w:rsidRPr="000E4315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0E4315">
              <w:rPr>
                <w:b/>
                <w:bCs/>
                <w:sz w:val="20"/>
                <w:szCs w:val="20"/>
              </w:rPr>
              <w:t>)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Identity &amp; access management</w:t>
            </w:r>
          </w:p>
        </w:tc>
        <w:tc>
          <w:tcPr>
            <w:tcW w:w="0" w:type="auto"/>
            <w:vAlign w:val="center"/>
            <w:hideMark/>
          </w:tcPr>
          <w:p w14:paraId="09BB50C4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Strong </w:t>
            </w:r>
            <w:r w:rsidRPr="000E4315">
              <w:rPr>
                <w:b/>
                <w:bCs/>
                <w:sz w:val="20"/>
                <w:szCs w:val="20"/>
              </w:rPr>
              <w:t>identity assurance, authentication and access control</w:t>
            </w:r>
            <w:r w:rsidRPr="000E4315">
              <w:rPr>
                <w:sz w:val="20"/>
                <w:szCs w:val="20"/>
              </w:rPr>
              <w:t xml:space="preserve"> for </w:t>
            </w:r>
            <w:r w:rsidRPr="000E4315">
              <w:rPr>
                <w:sz w:val="20"/>
                <w:szCs w:val="20"/>
              </w:rPr>
              <w:lastRenderedPageBreak/>
              <w:t>employees and suppliers; no anonymous or uncontrolled access.</w:t>
            </w:r>
          </w:p>
        </w:tc>
        <w:tc>
          <w:tcPr>
            <w:tcW w:w="0" w:type="auto"/>
            <w:vAlign w:val="center"/>
            <w:hideMark/>
          </w:tcPr>
          <w:p w14:paraId="6AB13C83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lastRenderedPageBreak/>
              <w:t xml:space="preserve">JMD 1689 Art. 13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Account management &amp; access control</w:t>
            </w:r>
            <w:r w:rsidRPr="000E4315">
              <w:rPr>
                <w:sz w:val="20"/>
                <w:szCs w:val="20"/>
              </w:rPr>
              <w:t xml:space="preserve">: requires written policy and procedures for logical access control to network and information systems, based on business </w:t>
            </w:r>
            <w:r w:rsidRPr="000E4315">
              <w:rPr>
                <w:sz w:val="20"/>
                <w:szCs w:val="20"/>
              </w:rPr>
              <w:lastRenderedPageBreak/>
              <w:t xml:space="preserve">needs and security requirements; policies cover both entity personnel and </w:t>
            </w:r>
            <w:r w:rsidRPr="000E4315">
              <w:rPr>
                <w:b/>
                <w:bCs/>
                <w:sz w:val="20"/>
                <w:szCs w:val="20"/>
              </w:rPr>
              <w:t>third-party staff (suppliers, ICT providers)</w:t>
            </w:r>
            <w:r w:rsidRPr="000E4315">
              <w:rPr>
                <w:sz w:val="20"/>
                <w:szCs w:val="20"/>
              </w:rPr>
              <w:t xml:space="preserve">; every user must have a </w:t>
            </w:r>
            <w:r w:rsidRPr="000E4315">
              <w:rPr>
                <w:b/>
                <w:bCs/>
                <w:sz w:val="20"/>
                <w:szCs w:val="20"/>
              </w:rPr>
              <w:t>unique identity</w:t>
            </w:r>
          </w:p>
          <w:p w14:paraId="3663244A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Art. 19 JMD 1689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Network security</w:t>
            </w:r>
            <w:r w:rsidRPr="000E4315">
              <w:rPr>
                <w:sz w:val="20"/>
                <w:szCs w:val="20"/>
              </w:rPr>
              <w:t>: includes rules for secure connections, authentication and authorisation for access to network and services, and strict measures for remote connections, including for suppliers.</w:t>
            </w:r>
          </w:p>
          <w:p w14:paraId="72162992" w14:textId="5E7B2C66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Cybersecurity Handbook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Ch. 4 (Access control) and Ch. 5 (User authentication) provide detailed best practices for roles/permissions, least privilege, strong authentication and account management.</w:t>
            </w:r>
          </w:p>
        </w:tc>
        <w:tc>
          <w:tcPr>
            <w:tcW w:w="0" w:type="auto"/>
            <w:vAlign w:val="center"/>
            <w:hideMark/>
          </w:tcPr>
          <w:p w14:paraId="10C96D8D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Auditors will expect a </w:t>
            </w:r>
            <w:r w:rsidRPr="000E4315">
              <w:rPr>
                <w:b/>
                <w:bCs/>
                <w:sz w:val="20"/>
                <w:szCs w:val="20"/>
              </w:rPr>
              <w:t>coherent IAM model</w:t>
            </w:r>
            <w:r w:rsidRPr="000E4315">
              <w:rPr>
                <w:sz w:val="20"/>
                <w:szCs w:val="20"/>
              </w:rPr>
              <w:t>: roles, unique accounts, segregation of duties, joiner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>mover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leaver process, and </w:t>
            </w:r>
            <w:r w:rsidRPr="000E4315">
              <w:rPr>
                <w:sz w:val="20"/>
                <w:szCs w:val="20"/>
              </w:rPr>
              <w:lastRenderedPageBreak/>
              <w:t>explicit coverage of external provider accounts.</w:t>
            </w:r>
          </w:p>
          <w:p w14:paraId="5745B2FC" w14:textId="33583464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Multi-factor authentication and non-anonymous access</w:t>
            </w:r>
            <w:r w:rsidRPr="000E4315">
              <w:rPr>
                <w:sz w:val="20"/>
                <w:szCs w:val="20"/>
              </w:rPr>
              <w:t xml:space="preserve"> are natural expectations when combining JMD 1689 access control and Handbook guidance. Remote sessions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including view-only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should never be anonymous.</w:t>
            </w:r>
          </w:p>
        </w:tc>
        <w:tc>
          <w:tcPr>
            <w:tcW w:w="0" w:type="auto"/>
            <w:vAlign w:val="center"/>
            <w:hideMark/>
          </w:tcPr>
          <w:p w14:paraId="0CE80C8E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Integrate </w:t>
            </w:r>
            <w:r w:rsidRPr="000E4315">
              <w:rPr>
                <w:b/>
                <w:bCs/>
                <w:sz w:val="20"/>
                <w:szCs w:val="20"/>
              </w:rPr>
              <w:t>federated directories</w:t>
            </w:r>
            <w:r w:rsidRPr="000E4315">
              <w:rPr>
                <w:sz w:val="20"/>
                <w:szCs w:val="20"/>
              </w:rPr>
              <w:t xml:space="preserve"> and </w:t>
            </w:r>
            <w:r w:rsidRPr="000E4315">
              <w:rPr>
                <w:b/>
                <w:bCs/>
                <w:sz w:val="20"/>
                <w:szCs w:val="20"/>
              </w:rPr>
              <w:t>MFA</w:t>
            </w:r>
            <w:r w:rsidRPr="000E4315">
              <w:rPr>
                <w:sz w:val="20"/>
                <w:szCs w:val="20"/>
              </w:rPr>
              <w:t xml:space="preserve"> for all Netop users (employees and suppliers).</w:t>
            </w:r>
          </w:p>
          <w:p w14:paraId="6BA08712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Eliminate unrestricted or anonymous remote access; require </w:t>
            </w:r>
            <w:r w:rsidRPr="000E4315">
              <w:rPr>
                <w:b/>
                <w:bCs/>
                <w:sz w:val="20"/>
                <w:szCs w:val="20"/>
              </w:rPr>
              <w:t>identified, authorised users</w:t>
            </w:r>
            <w:r w:rsidRPr="000E4315">
              <w:rPr>
                <w:sz w:val="20"/>
                <w:szCs w:val="20"/>
              </w:rPr>
              <w:t xml:space="preserve"> for every remote session, including view-only.</w:t>
            </w:r>
          </w:p>
          <w:p w14:paraId="27F04B95" w14:textId="42B601CD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Avoid just-sending invites: ensure </w:t>
            </w:r>
            <w:r w:rsidRPr="000E4315">
              <w:rPr>
                <w:b/>
                <w:bCs/>
                <w:sz w:val="20"/>
                <w:szCs w:val="20"/>
              </w:rPr>
              <w:t>every invitee is identified</w:t>
            </w:r>
            <w:r w:rsidRPr="00951163">
              <w:rPr>
                <w:b/>
                <w:bCs/>
                <w:sz w:val="20"/>
                <w:szCs w:val="20"/>
              </w:rPr>
              <w:t xml:space="preserve">, </w:t>
            </w:r>
            <w:r w:rsidRPr="000E4315">
              <w:rPr>
                <w:b/>
                <w:bCs/>
                <w:sz w:val="20"/>
                <w:szCs w:val="20"/>
              </w:rPr>
              <w:t>approved</w:t>
            </w:r>
            <w:r w:rsidRPr="00951163">
              <w:rPr>
                <w:b/>
                <w:bCs/>
                <w:sz w:val="20"/>
                <w:szCs w:val="20"/>
              </w:rPr>
              <w:t xml:space="preserve"> and authenticated</w:t>
            </w:r>
            <w:r w:rsidRPr="000E4315">
              <w:rPr>
                <w:sz w:val="20"/>
                <w:szCs w:val="20"/>
              </w:rPr>
              <w:t xml:space="preserve"> before session start.</w:t>
            </w:r>
          </w:p>
        </w:tc>
      </w:tr>
      <w:tr w:rsidR="00334F11" w:rsidRPr="00951163" w14:paraId="3E9B6939" w14:textId="77777777" w:rsidTr="000E43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4DA7B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lastRenderedPageBreak/>
              <w:t>Art. 22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Union-level coordinated supply-chain risk assessments</w:t>
            </w:r>
          </w:p>
        </w:tc>
        <w:tc>
          <w:tcPr>
            <w:tcW w:w="0" w:type="auto"/>
            <w:vAlign w:val="center"/>
            <w:hideMark/>
          </w:tcPr>
          <w:p w14:paraId="08EE83E4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>Greece must be able to assess and react to EU-level risks in critical ICT supply chains (including remote access tools).</w:t>
            </w:r>
          </w:p>
        </w:tc>
        <w:tc>
          <w:tcPr>
            <w:tcW w:w="0" w:type="auto"/>
            <w:vAlign w:val="center"/>
            <w:hideMark/>
          </w:tcPr>
          <w:p w14:paraId="72A730C5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Law 5160/2024 Art. 7 &amp; related provisions</w:t>
            </w:r>
            <w:r w:rsidRPr="000E4315">
              <w:rPr>
                <w:sz w:val="20"/>
                <w:szCs w:val="20"/>
              </w:rPr>
              <w:t xml:space="preserve">: empower the National Cybersecurity Authority to adopt policies and regulatory measures as part of the national cybersecurity strategy, including </w:t>
            </w:r>
            <w:r w:rsidRPr="000E4315">
              <w:rPr>
                <w:b/>
                <w:bCs/>
                <w:sz w:val="20"/>
                <w:szCs w:val="20"/>
              </w:rPr>
              <w:t>addressing cybersecurity in ICT supply chains</w:t>
            </w:r>
            <w:r w:rsidRPr="000E4315">
              <w:rPr>
                <w:sz w:val="20"/>
                <w:szCs w:val="20"/>
              </w:rPr>
              <w:t xml:space="preserve"> used by entities.</w:t>
            </w:r>
          </w:p>
          <w:p w14:paraId="630124BC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Law 5160</w:t>
            </w:r>
            <w:r w:rsidRPr="000E4315">
              <w:rPr>
                <w:sz w:val="20"/>
                <w:szCs w:val="20"/>
              </w:rPr>
              <w:t xml:space="preserve"> is the transposition of NIS2 in Greece; Greece also adopted secondary legislation like </w:t>
            </w:r>
            <w:r w:rsidRPr="000E4315">
              <w:rPr>
                <w:b/>
                <w:bCs/>
                <w:sz w:val="20"/>
                <w:szCs w:val="20"/>
              </w:rPr>
              <w:t>JMD 1689/2025</w:t>
            </w:r>
            <w:r w:rsidRPr="000E4315">
              <w:rPr>
                <w:sz w:val="20"/>
                <w:szCs w:val="20"/>
              </w:rPr>
              <w:t xml:space="preserve"> on cybersecurity requirements and JMD 1645/2025 on entity registration, forming the national implementation toolbox.</w:t>
            </w:r>
          </w:p>
          <w:p w14:paraId="73BDB19B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JMD 1689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ICT supply-chain risk article (Art. ~12)</w:t>
            </w:r>
            <w:r w:rsidRPr="000E4315">
              <w:rPr>
                <w:sz w:val="20"/>
                <w:szCs w:val="20"/>
              </w:rPr>
              <w:t xml:space="preserve">: requires supplier criticality classification, security requirements for suppliers and products, audit rights, secure offboarding, and extension of </w:t>
            </w:r>
            <w:r w:rsidRPr="000E4315">
              <w:rPr>
                <w:sz w:val="20"/>
                <w:szCs w:val="20"/>
              </w:rPr>
              <w:lastRenderedPageBreak/>
              <w:t>risk management into the entire supply chain including subcontractors</w:t>
            </w:r>
          </w:p>
          <w:p w14:paraId="41468830" w14:textId="4F53849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Cybersecurity Handbook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Ch. 13 "Supply chain risk management"</w:t>
            </w:r>
            <w:r w:rsidRPr="000E4315">
              <w:rPr>
                <w:sz w:val="20"/>
                <w:szCs w:val="20"/>
              </w:rPr>
              <w:t>: sets best practices for assessing and managing risks from suppliers and outsourced services.</w:t>
            </w:r>
          </w:p>
        </w:tc>
        <w:tc>
          <w:tcPr>
            <w:tcW w:w="0" w:type="auto"/>
            <w:vAlign w:val="center"/>
            <w:hideMark/>
          </w:tcPr>
          <w:p w14:paraId="53FB6E17" w14:textId="75B3E813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Entities must be able to </w:t>
            </w:r>
            <w:r w:rsidRPr="000E4315">
              <w:rPr>
                <w:b/>
                <w:bCs/>
                <w:sz w:val="20"/>
                <w:szCs w:val="20"/>
              </w:rPr>
              <w:t>identify and document critical ICT products and services</w:t>
            </w:r>
            <w:r w:rsidRPr="000E4315">
              <w:rPr>
                <w:sz w:val="20"/>
                <w:szCs w:val="20"/>
              </w:rPr>
              <w:t>, including remote access tools, and demonstrate due diligence and continuous oversight over these suppliers.</w:t>
            </w:r>
          </w:p>
          <w:p w14:paraId="49E3626B" w14:textId="7D96CD74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>For EU-level supply-chain assessments under Art. 22, Greek authorities can request information/Evidence; JMD 1689</w:t>
            </w:r>
            <w:r w:rsidRPr="000E4315">
              <w:rPr>
                <w:sz w:val="20"/>
                <w:szCs w:val="20"/>
              </w:rPr>
              <w:t>’</w:t>
            </w:r>
            <w:r w:rsidRPr="000E4315">
              <w:rPr>
                <w:sz w:val="20"/>
                <w:szCs w:val="20"/>
              </w:rPr>
              <w:t>s documentation and supplier-risk provisions are designed so entities can provide it.</w:t>
            </w:r>
          </w:p>
        </w:tc>
        <w:tc>
          <w:tcPr>
            <w:tcW w:w="0" w:type="auto"/>
            <w:vAlign w:val="center"/>
            <w:hideMark/>
          </w:tcPr>
          <w:p w14:paraId="4A707CD8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Conduct </w:t>
            </w:r>
            <w:r w:rsidRPr="000E4315">
              <w:rPr>
                <w:b/>
                <w:bCs/>
                <w:sz w:val="20"/>
                <w:szCs w:val="20"/>
              </w:rPr>
              <w:t>regular penetration tests</w:t>
            </w:r>
            <w:r w:rsidRPr="000E4315">
              <w:rPr>
                <w:sz w:val="20"/>
                <w:szCs w:val="20"/>
              </w:rPr>
              <w:t xml:space="preserve"> and security assessments on remote access tools, including Netop, and remove non-secure alternatives (unmanaged RDP/VNC).</w:t>
            </w:r>
          </w:p>
          <w:p w14:paraId="38C19668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Maintain an inventory of </w:t>
            </w:r>
            <w:r w:rsidRPr="000E4315">
              <w:rPr>
                <w:b/>
                <w:bCs/>
                <w:sz w:val="20"/>
                <w:szCs w:val="20"/>
              </w:rPr>
              <w:t>remote access tools and supplier connections</w:t>
            </w:r>
            <w:r w:rsidRPr="000E4315">
              <w:rPr>
                <w:sz w:val="20"/>
                <w:szCs w:val="20"/>
              </w:rPr>
              <w:t xml:space="preserve"> as part of the supply-chain cyber risk register.</w:t>
            </w:r>
          </w:p>
          <w:p w14:paraId="33437990" w14:textId="01EE9472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Use </w:t>
            </w:r>
            <w:proofErr w:type="spellStart"/>
            <w:r w:rsidRPr="000E4315">
              <w:rPr>
                <w:sz w:val="20"/>
                <w:szCs w:val="20"/>
              </w:rPr>
              <w:t>Netop</w:t>
            </w:r>
            <w:r w:rsidRPr="000E4315">
              <w:rPr>
                <w:sz w:val="20"/>
                <w:szCs w:val="20"/>
              </w:rPr>
              <w:t>’</w:t>
            </w:r>
            <w:r w:rsidRPr="000E4315">
              <w:rPr>
                <w:sz w:val="20"/>
                <w:szCs w:val="20"/>
              </w:rPr>
              <w:t>s</w:t>
            </w:r>
            <w:proofErr w:type="spellEnd"/>
            <w:r w:rsidRPr="000E4315">
              <w:rPr>
                <w:sz w:val="20"/>
                <w:szCs w:val="20"/>
              </w:rPr>
              <w:t xml:space="preserve"> centralised deployment on AWS as the </w:t>
            </w:r>
            <w:r w:rsidRPr="000E4315">
              <w:rPr>
                <w:b/>
                <w:bCs/>
                <w:sz w:val="20"/>
                <w:szCs w:val="20"/>
              </w:rPr>
              <w:t>standardised, controllable remote access platform</w:t>
            </w:r>
            <w:r w:rsidRPr="000E4315">
              <w:rPr>
                <w:sz w:val="20"/>
                <w:szCs w:val="20"/>
              </w:rPr>
              <w:t xml:space="preserve"> for critical equipment.</w:t>
            </w:r>
          </w:p>
        </w:tc>
      </w:tr>
      <w:tr w:rsidR="00334F11" w:rsidRPr="00951163" w14:paraId="18FBD40C" w14:textId="77777777" w:rsidTr="000E43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0765D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Art. 23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Reporting obligations (24h / 72h / 1 month)</w:t>
            </w:r>
          </w:p>
        </w:tc>
        <w:tc>
          <w:tcPr>
            <w:tcW w:w="0" w:type="auto"/>
            <w:vAlign w:val="center"/>
            <w:hideMark/>
          </w:tcPr>
          <w:p w14:paraId="5769B2A3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Being able to </w:t>
            </w:r>
            <w:r w:rsidRPr="000E4315">
              <w:rPr>
                <w:b/>
                <w:bCs/>
                <w:sz w:val="20"/>
                <w:szCs w:val="20"/>
              </w:rPr>
              <w:t>detect, classify and report incidents</w:t>
            </w:r>
            <w:r w:rsidRPr="000E4315">
              <w:rPr>
                <w:sz w:val="20"/>
                <w:szCs w:val="20"/>
              </w:rPr>
              <w:t xml:space="preserve"> on time, backed by rich technical evidence and logs.</w:t>
            </w:r>
          </w:p>
        </w:tc>
        <w:tc>
          <w:tcPr>
            <w:tcW w:w="0" w:type="auto"/>
            <w:vAlign w:val="center"/>
            <w:hideMark/>
          </w:tcPr>
          <w:p w14:paraId="00809D58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Law 5160/2024 Art. 16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</w:t>
            </w:r>
            <w:r w:rsidRPr="000E4315">
              <w:rPr>
                <w:b/>
                <w:bCs/>
                <w:sz w:val="20"/>
                <w:szCs w:val="20"/>
              </w:rPr>
              <w:t>“</w:t>
            </w:r>
            <w:r w:rsidRPr="000E4315">
              <w:rPr>
                <w:b/>
                <w:bCs/>
                <w:sz w:val="20"/>
                <w:szCs w:val="20"/>
              </w:rPr>
              <w:t>Incident reporting obligations (Art. 23 NIS2)</w:t>
            </w:r>
            <w:r w:rsidRPr="000E4315">
              <w:rPr>
                <w:b/>
                <w:bCs/>
                <w:sz w:val="20"/>
                <w:szCs w:val="20"/>
              </w:rPr>
              <w:t>”</w:t>
            </w:r>
            <w:r w:rsidRPr="000E4315">
              <w:rPr>
                <w:sz w:val="20"/>
                <w:szCs w:val="20"/>
              </w:rPr>
              <w:t>: transposes the multi-stage reporting: early warning within 24 hours, incident notification within 72 hours, intermediate update if requested, and final report within one month to the National Cybersecurity Authority / CSIRT.(</w:t>
            </w:r>
            <w:hyperlink r:id="rId9" w:tooltip="ΕΦΗΜΕΡΙΔΑ ΤΗΣ ΚΥΒΕΡΝΗΣΕΩΣ" w:history="1">
              <w:r w:rsidRPr="000E4315">
                <w:rPr>
                  <w:rStyle w:val="Hyperlink"/>
                  <w:sz w:val="20"/>
                  <w:szCs w:val="20"/>
                </w:rPr>
                <w:t>ENISA</w:t>
              </w:r>
            </w:hyperlink>
            <w:r w:rsidRPr="000E4315">
              <w:rPr>
                <w:sz w:val="20"/>
                <w:szCs w:val="20"/>
              </w:rPr>
              <w:t>)</w:t>
            </w:r>
          </w:p>
          <w:p w14:paraId="5D283269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>Significant incidents are defined in line with NIS2 (impact on services, users, economic/social effects).</w:t>
            </w:r>
          </w:p>
          <w:p w14:paraId="36FDFE78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 xml:space="preserve">JMD 1689 Art. 18 </w:t>
            </w:r>
            <w:r w:rsidRPr="000E4315">
              <w:rPr>
                <w:b/>
                <w:bCs/>
                <w:sz w:val="20"/>
                <w:szCs w:val="20"/>
              </w:rPr>
              <w:t>–</w:t>
            </w:r>
            <w:r w:rsidRPr="000E4315">
              <w:rPr>
                <w:b/>
                <w:bCs/>
                <w:sz w:val="20"/>
                <w:szCs w:val="20"/>
              </w:rPr>
              <w:t xml:space="preserve"> Effectiveness assessment</w:t>
            </w:r>
            <w:r w:rsidRPr="000E4315">
              <w:rPr>
                <w:sz w:val="20"/>
                <w:szCs w:val="20"/>
              </w:rPr>
              <w:t xml:space="preserve">: requires security controls to be tested via security checks, regular external penetration tests, periodic self-assessment with a guide issued by the National Cybersecurity Authority, and submission of results plus remediation plan to the Authority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all of which support detection capability and reporting quality</w:t>
            </w:r>
          </w:p>
          <w:p w14:paraId="7B70BAD6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>JMD provisions on zero-day vulnerability disclosure to CSIRT (Art. ~17) further strengthen the information flow to authorities.</w:t>
            </w:r>
          </w:p>
          <w:p w14:paraId="0CF703F0" w14:textId="616BB0F6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Cybersecurity Handbook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Ch. 8 (event logs), 17 (incident handling), 18 (BC/DR) cover logging, </w:t>
            </w:r>
            <w:r w:rsidRPr="000E4315">
              <w:rPr>
                <w:sz w:val="20"/>
                <w:szCs w:val="20"/>
              </w:rPr>
              <w:lastRenderedPageBreak/>
              <w:t>monitoring, response and resilience best practices.</w:t>
            </w:r>
          </w:p>
        </w:tc>
        <w:tc>
          <w:tcPr>
            <w:tcW w:w="0" w:type="auto"/>
            <w:vAlign w:val="center"/>
            <w:hideMark/>
          </w:tcPr>
          <w:p w14:paraId="159B835F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lastRenderedPageBreak/>
              <w:t xml:space="preserve">You need processes and tooling to </w:t>
            </w:r>
            <w:r w:rsidRPr="000E4315">
              <w:rPr>
                <w:b/>
                <w:bCs/>
                <w:sz w:val="20"/>
                <w:szCs w:val="20"/>
              </w:rPr>
              <w:t>identify significant incidents</w:t>
            </w:r>
            <w:r w:rsidRPr="000E4315">
              <w:rPr>
                <w:sz w:val="20"/>
                <w:szCs w:val="20"/>
              </w:rPr>
              <w:t xml:space="preserve"> and generate all the data needed for the 24h / 72h / 1-month reports: timeline, root cause, impact, corrective measures, and supply-chain role.</w:t>
            </w:r>
          </w:p>
          <w:p w14:paraId="6EFD9410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You should be able to </w:t>
            </w:r>
            <w:r w:rsidRPr="000E4315">
              <w:rPr>
                <w:b/>
                <w:bCs/>
                <w:sz w:val="20"/>
                <w:szCs w:val="20"/>
              </w:rPr>
              <w:t>correlate remote access activities, configuration changes and network events</w:t>
            </w:r>
            <w:r w:rsidRPr="000E4315">
              <w:rPr>
                <w:sz w:val="20"/>
                <w:szCs w:val="20"/>
              </w:rPr>
              <w:t xml:space="preserve"> into a coherent incident narrative, supported by logs and recordings.</w:t>
            </w:r>
          </w:p>
          <w:p w14:paraId="7B5ED72A" w14:textId="00D32572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Regular </w:t>
            </w:r>
            <w:proofErr w:type="spellStart"/>
            <w:r w:rsidRPr="000E4315">
              <w:rPr>
                <w:sz w:val="20"/>
                <w:szCs w:val="20"/>
              </w:rPr>
              <w:t>pentests</w:t>
            </w:r>
            <w:proofErr w:type="spellEnd"/>
            <w:r w:rsidRPr="000E4315">
              <w:rPr>
                <w:sz w:val="20"/>
                <w:szCs w:val="20"/>
              </w:rPr>
              <w:t xml:space="preserve">, self-assessments and vulnerability management under JMD 1689 Art. 18 are the </w:t>
            </w:r>
            <w:r w:rsidRPr="000E4315">
              <w:rPr>
                <w:sz w:val="20"/>
                <w:szCs w:val="20"/>
              </w:rPr>
              <w:t>“</w:t>
            </w:r>
            <w:r w:rsidRPr="000E4315">
              <w:rPr>
                <w:sz w:val="20"/>
                <w:szCs w:val="20"/>
              </w:rPr>
              <w:t>prevent/detect</w:t>
            </w:r>
            <w:r w:rsidRPr="000E4315">
              <w:rPr>
                <w:sz w:val="20"/>
                <w:szCs w:val="20"/>
              </w:rPr>
              <w:t>”</w:t>
            </w:r>
            <w:r w:rsidRPr="000E4315">
              <w:rPr>
                <w:sz w:val="20"/>
                <w:szCs w:val="20"/>
              </w:rPr>
              <w:t xml:space="preserve"> counterpart to the legal reporting obligations.</w:t>
            </w:r>
          </w:p>
        </w:tc>
        <w:tc>
          <w:tcPr>
            <w:tcW w:w="0" w:type="auto"/>
            <w:vAlign w:val="center"/>
            <w:hideMark/>
          </w:tcPr>
          <w:p w14:paraId="3DD88A98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Implement </w:t>
            </w:r>
            <w:r w:rsidRPr="000E4315">
              <w:rPr>
                <w:b/>
                <w:bCs/>
                <w:sz w:val="20"/>
                <w:szCs w:val="20"/>
              </w:rPr>
              <w:t>remote access auditability</w:t>
            </w:r>
            <w:r w:rsidRPr="000E4315">
              <w:rPr>
                <w:sz w:val="20"/>
                <w:szCs w:val="20"/>
              </w:rPr>
              <w:t>: logging connection, session, action, security and configuration events.</w:t>
            </w:r>
          </w:p>
          <w:p w14:paraId="68FE35F8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Integrate Netop events with </w:t>
            </w:r>
            <w:r w:rsidRPr="000E4315">
              <w:rPr>
                <w:b/>
                <w:bCs/>
                <w:sz w:val="20"/>
                <w:szCs w:val="20"/>
              </w:rPr>
              <w:t>AWS CloudTrail</w:t>
            </w:r>
            <w:r w:rsidRPr="000E4315">
              <w:rPr>
                <w:sz w:val="20"/>
                <w:szCs w:val="20"/>
              </w:rPr>
              <w:t xml:space="preserve"> for centralised, secure logging of all remote access activity.</w:t>
            </w:r>
          </w:p>
          <w:p w14:paraId="1974EDF7" w14:textId="77777777" w:rsidR="000E4315" w:rsidRPr="00951163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Enable </w:t>
            </w:r>
            <w:r w:rsidRPr="000E4315">
              <w:rPr>
                <w:b/>
                <w:bCs/>
                <w:sz w:val="20"/>
                <w:szCs w:val="20"/>
              </w:rPr>
              <w:t>Netop session recording</w:t>
            </w:r>
            <w:r w:rsidRPr="000E4315">
              <w:rPr>
                <w:sz w:val="20"/>
                <w:szCs w:val="20"/>
              </w:rPr>
              <w:t xml:space="preserve"> (</w:t>
            </w:r>
            <w:proofErr w:type="spellStart"/>
            <w:r w:rsidRPr="000E4315">
              <w:rPr>
                <w:sz w:val="20"/>
                <w:szCs w:val="20"/>
              </w:rPr>
              <w:t>audio+video+input</w:t>
            </w:r>
            <w:proofErr w:type="spellEnd"/>
            <w:r w:rsidRPr="000E4315">
              <w:rPr>
                <w:sz w:val="20"/>
                <w:szCs w:val="20"/>
              </w:rPr>
              <w:t>) for supply-chain sessions and store them encrypted and tamper-proof.</w:t>
            </w:r>
          </w:p>
          <w:p w14:paraId="00716351" w14:textId="7C6A6A1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Use these logs &amp; recordings as </w:t>
            </w:r>
            <w:r w:rsidRPr="000E4315">
              <w:rPr>
                <w:b/>
                <w:bCs/>
                <w:sz w:val="20"/>
                <w:szCs w:val="20"/>
              </w:rPr>
              <w:t>legal/forensic evidence</w:t>
            </w:r>
            <w:r w:rsidRPr="000E4315">
              <w:rPr>
                <w:sz w:val="20"/>
                <w:szCs w:val="20"/>
              </w:rPr>
              <w:t xml:space="preserve"> to support Art. 23 reports and CSIRT investigations.</w:t>
            </w:r>
          </w:p>
        </w:tc>
      </w:tr>
      <w:tr w:rsidR="00334F11" w:rsidRPr="00951163" w14:paraId="6FAC4EBD" w14:textId="77777777" w:rsidTr="000E43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29DFD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b/>
                <w:bCs/>
                <w:sz w:val="20"/>
                <w:szCs w:val="20"/>
              </w:rPr>
              <w:t>Art. 24</w:t>
            </w:r>
            <w:r w:rsidRPr="000E4315">
              <w:rPr>
                <w:sz w:val="20"/>
                <w:szCs w:val="20"/>
              </w:rPr>
              <w:t xml:space="preserve"> </w:t>
            </w:r>
            <w:r w:rsidRPr="000E4315">
              <w:rPr>
                <w:sz w:val="20"/>
                <w:szCs w:val="20"/>
              </w:rPr>
              <w:t>–</w:t>
            </w:r>
            <w:r w:rsidRPr="000E4315">
              <w:rPr>
                <w:sz w:val="20"/>
                <w:szCs w:val="20"/>
              </w:rPr>
              <w:t xml:space="preserve"> Use of EU cybersecurity certification schemes</w:t>
            </w:r>
          </w:p>
        </w:tc>
        <w:tc>
          <w:tcPr>
            <w:tcW w:w="0" w:type="auto"/>
            <w:vAlign w:val="center"/>
            <w:hideMark/>
          </w:tcPr>
          <w:p w14:paraId="4F73B8C8" w14:textId="77777777" w:rsidR="000E4315" w:rsidRPr="000E4315" w:rsidRDefault="000E4315" w:rsidP="000E4315">
            <w:pPr>
              <w:rPr>
                <w:sz w:val="20"/>
                <w:szCs w:val="20"/>
              </w:rPr>
            </w:pPr>
            <w:r w:rsidRPr="000E4315">
              <w:rPr>
                <w:sz w:val="20"/>
                <w:szCs w:val="20"/>
              </w:rPr>
              <w:t xml:space="preserve">Using recognised </w:t>
            </w:r>
            <w:r w:rsidRPr="000E4315">
              <w:rPr>
                <w:b/>
                <w:bCs/>
                <w:sz w:val="20"/>
                <w:szCs w:val="20"/>
              </w:rPr>
              <w:t>EU or national cybersecurity certification</w:t>
            </w:r>
            <w:r w:rsidRPr="000E4315">
              <w:rPr>
                <w:sz w:val="20"/>
                <w:szCs w:val="20"/>
              </w:rPr>
              <w:t xml:space="preserve"> to strengthen assurance for ICT products and services.</w:t>
            </w:r>
          </w:p>
        </w:tc>
        <w:tc>
          <w:tcPr>
            <w:tcW w:w="0" w:type="auto"/>
            <w:vAlign w:val="center"/>
            <w:hideMark/>
          </w:tcPr>
          <w:p w14:paraId="401791EE" w14:textId="4059A40E" w:rsidR="00334F11" w:rsidRPr="00951163" w:rsidRDefault="00334F11" w:rsidP="000E4315">
            <w:pPr>
              <w:rPr>
                <w:sz w:val="20"/>
                <w:szCs w:val="20"/>
              </w:rPr>
            </w:pPr>
            <w:r w:rsidRPr="00951163">
              <w:rPr>
                <w:b/>
                <w:bCs/>
                <w:sz w:val="20"/>
                <w:szCs w:val="20"/>
              </w:rPr>
              <w:t xml:space="preserve">Law 5160/2024 </w:t>
            </w:r>
            <w:r w:rsidRPr="00951163">
              <w:rPr>
                <w:b/>
                <w:bCs/>
                <w:sz w:val="20"/>
                <w:szCs w:val="20"/>
              </w:rPr>
              <w:t>–</w:t>
            </w:r>
            <w:r w:rsidRPr="00951163">
              <w:rPr>
                <w:b/>
                <w:bCs/>
                <w:sz w:val="20"/>
                <w:szCs w:val="20"/>
              </w:rPr>
              <w:t xml:space="preserve"> links to EU Cybersecurity Act (Reg. 2019/881)</w:t>
            </w:r>
            <w:r w:rsidRPr="00951163">
              <w:rPr>
                <w:sz w:val="20"/>
                <w:szCs w:val="20"/>
              </w:rPr>
              <w:t xml:space="preserve">: definitions section references the Regulation and the concept of cybersecurity certification for ICT products and </w:t>
            </w:r>
            <w:proofErr w:type="spellStart"/>
            <w:r w:rsidRPr="00951163">
              <w:rPr>
                <w:sz w:val="20"/>
                <w:szCs w:val="20"/>
              </w:rPr>
              <w:t>services.</w:t>
            </w:r>
            <w:hyperlink r:id="rId10" w:history="1">
              <w:r w:rsidRPr="00951163">
                <w:rPr>
                  <w:rStyle w:val="Hyperlink"/>
                  <w:sz w:val="20"/>
                  <w:szCs w:val="20"/>
                </w:rPr>
                <w:t>ENISA</w:t>
              </w:r>
              <w:proofErr w:type="spellEnd"/>
            </w:hyperlink>
            <w:r w:rsidRPr="00951163">
              <w:rPr>
                <w:sz w:val="20"/>
                <w:szCs w:val="20"/>
              </w:rPr>
              <w:t xml:space="preserve"> </w:t>
            </w:r>
          </w:p>
          <w:p w14:paraId="251E7520" w14:textId="77777777" w:rsidR="00334F11" w:rsidRPr="00951163" w:rsidRDefault="00334F11" w:rsidP="000E4315">
            <w:pPr>
              <w:rPr>
                <w:sz w:val="20"/>
                <w:szCs w:val="20"/>
              </w:rPr>
            </w:pPr>
            <w:r w:rsidRPr="00951163">
              <w:rPr>
                <w:sz w:val="20"/>
                <w:szCs w:val="20"/>
              </w:rPr>
              <w:t>Another provision (around Art. 11</w:t>
            </w:r>
            <w:r w:rsidRPr="00951163">
              <w:rPr>
                <w:sz w:val="20"/>
                <w:szCs w:val="20"/>
              </w:rPr>
              <w:t>–</w:t>
            </w:r>
            <w:r w:rsidRPr="00951163">
              <w:rPr>
                <w:sz w:val="20"/>
                <w:szCs w:val="20"/>
              </w:rPr>
              <w:t xml:space="preserve">13) allows measures encouraging or requiring basic/important entities to use ICT products/services/processes </w:t>
            </w:r>
            <w:r w:rsidRPr="00951163">
              <w:rPr>
                <w:b/>
                <w:bCs/>
                <w:sz w:val="20"/>
                <w:szCs w:val="20"/>
              </w:rPr>
              <w:t>certified under European cybersecurity certification schemes</w:t>
            </w:r>
            <w:r w:rsidRPr="00951163">
              <w:rPr>
                <w:sz w:val="20"/>
                <w:szCs w:val="20"/>
              </w:rPr>
              <w:t xml:space="preserve"> established under Art. 49 of Regulation 2019/881, and to use qualified trust </w:t>
            </w:r>
            <w:proofErr w:type="spellStart"/>
            <w:r w:rsidRPr="00951163">
              <w:rPr>
                <w:sz w:val="20"/>
                <w:szCs w:val="20"/>
              </w:rPr>
              <w:t>services.</w:t>
            </w:r>
            <w:hyperlink r:id="rId11" w:tgtFrame="_blank" w:history="1">
              <w:r w:rsidRPr="00951163">
                <w:rPr>
                  <w:rStyle w:val="Hyperlink"/>
                  <w:sz w:val="20"/>
                  <w:szCs w:val="20"/>
                </w:rPr>
                <w:t>ENI</w:t>
              </w:r>
              <w:r w:rsidRPr="00951163">
                <w:rPr>
                  <w:rStyle w:val="Hyperlink"/>
                  <w:sz w:val="20"/>
                  <w:szCs w:val="20"/>
                </w:rPr>
                <w:t>S</w:t>
              </w:r>
              <w:r w:rsidRPr="00951163">
                <w:rPr>
                  <w:rStyle w:val="Hyperlink"/>
                  <w:sz w:val="20"/>
                  <w:szCs w:val="20"/>
                </w:rPr>
                <w:t>A</w:t>
              </w:r>
            </w:hyperlink>
            <w:proofErr w:type="spellEnd"/>
          </w:p>
          <w:p w14:paraId="1A4DEA32" w14:textId="77777777" w:rsidR="00334F11" w:rsidRPr="00951163" w:rsidRDefault="00334F11" w:rsidP="000E4315">
            <w:pPr>
              <w:rPr>
                <w:sz w:val="20"/>
                <w:szCs w:val="20"/>
              </w:rPr>
            </w:pPr>
            <w:r w:rsidRPr="00951163">
              <w:rPr>
                <w:b/>
                <w:bCs/>
                <w:sz w:val="20"/>
                <w:szCs w:val="20"/>
              </w:rPr>
              <w:t xml:space="preserve">JMD 1689 </w:t>
            </w:r>
            <w:r w:rsidRPr="00951163">
              <w:rPr>
                <w:b/>
                <w:bCs/>
                <w:sz w:val="20"/>
                <w:szCs w:val="20"/>
              </w:rPr>
              <w:t>–</w:t>
            </w:r>
            <w:r w:rsidRPr="00951163">
              <w:rPr>
                <w:b/>
                <w:bCs/>
                <w:sz w:val="20"/>
                <w:szCs w:val="20"/>
              </w:rPr>
              <w:t xml:space="preserve"> ICT supply-chain risk (Art. ~12)</w:t>
            </w:r>
            <w:r w:rsidRPr="00951163">
              <w:rPr>
                <w:sz w:val="20"/>
                <w:szCs w:val="20"/>
              </w:rPr>
              <w:t>: when evaluating suppliers, entities must consider the supplier</w:t>
            </w:r>
            <w:r w:rsidRPr="00951163">
              <w:rPr>
                <w:sz w:val="20"/>
                <w:szCs w:val="20"/>
              </w:rPr>
              <w:t>’</w:t>
            </w:r>
            <w:r w:rsidRPr="00951163">
              <w:rPr>
                <w:sz w:val="20"/>
                <w:szCs w:val="20"/>
              </w:rPr>
              <w:t xml:space="preserve">s cybersecurity posture including </w:t>
            </w:r>
            <w:proofErr w:type="gramStart"/>
            <w:r w:rsidRPr="00951163">
              <w:rPr>
                <w:b/>
                <w:bCs/>
                <w:sz w:val="20"/>
                <w:szCs w:val="20"/>
              </w:rPr>
              <w:t>certifications</w:t>
            </w:r>
            <w:r w:rsidRPr="00951163">
              <w:rPr>
                <w:sz w:val="20"/>
                <w:szCs w:val="20"/>
              </w:rPr>
              <w:t>, and</w:t>
            </w:r>
            <w:proofErr w:type="gramEnd"/>
            <w:r w:rsidRPr="00951163">
              <w:rPr>
                <w:sz w:val="20"/>
                <w:szCs w:val="20"/>
              </w:rPr>
              <w:t xml:space="preserve"> can require specific security properties of ICT products and services in contracts.</w:t>
            </w:r>
          </w:p>
          <w:p w14:paraId="2584A5E4" w14:textId="0C830B1C" w:rsidR="000E4315" w:rsidRPr="000E4315" w:rsidRDefault="00334F11" w:rsidP="000E4315">
            <w:pPr>
              <w:rPr>
                <w:sz w:val="20"/>
                <w:szCs w:val="20"/>
              </w:rPr>
            </w:pPr>
            <w:r w:rsidRPr="00951163">
              <w:rPr>
                <w:b/>
                <w:bCs/>
                <w:sz w:val="20"/>
                <w:szCs w:val="20"/>
              </w:rPr>
              <w:t>Cybersecurity Handbook</w:t>
            </w:r>
            <w:r w:rsidRPr="00951163">
              <w:rPr>
                <w:sz w:val="20"/>
                <w:szCs w:val="20"/>
              </w:rPr>
              <w:t xml:space="preserve"> explicitly states it builds on </w:t>
            </w:r>
            <w:r w:rsidRPr="00951163">
              <w:rPr>
                <w:b/>
                <w:bCs/>
                <w:sz w:val="20"/>
                <w:szCs w:val="20"/>
              </w:rPr>
              <w:t>internationally recognised standards and guidelines</w:t>
            </w:r>
            <w:r w:rsidRPr="00951163">
              <w:rPr>
                <w:sz w:val="20"/>
                <w:szCs w:val="20"/>
              </w:rPr>
              <w:t>, encouraging alignment with standardised frameworks and certifications.</w:t>
            </w:r>
          </w:p>
        </w:tc>
        <w:tc>
          <w:tcPr>
            <w:tcW w:w="0" w:type="auto"/>
            <w:vAlign w:val="center"/>
            <w:hideMark/>
          </w:tcPr>
          <w:p w14:paraId="276B2556" w14:textId="77777777" w:rsidR="00334F11" w:rsidRPr="00951163" w:rsidRDefault="00334F11" w:rsidP="000E4315">
            <w:pPr>
              <w:rPr>
                <w:sz w:val="20"/>
                <w:szCs w:val="20"/>
              </w:rPr>
            </w:pPr>
            <w:r w:rsidRPr="00951163">
              <w:rPr>
                <w:sz w:val="20"/>
                <w:szCs w:val="20"/>
              </w:rPr>
              <w:t xml:space="preserve">Greece expects entities to </w:t>
            </w:r>
            <w:r w:rsidRPr="00951163">
              <w:rPr>
                <w:b/>
                <w:bCs/>
                <w:sz w:val="20"/>
                <w:szCs w:val="20"/>
              </w:rPr>
              <w:t>prefer certified ICT products and services</w:t>
            </w:r>
            <w:r w:rsidRPr="00951163">
              <w:rPr>
                <w:sz w:val="20"/>
                <w:szCs w:val="20"/>
              </w:rPr>
              <w:t xml:space="preserve"> where appropriate, especially for critical functions such as remote access, identity services and logging platforms.</w:t>
            </w:r>
          </w:p>
          <w:p w14:paraId="6CDCD3B9" w14:textId="6914A4E9" w:rsidR="000E4315" w:rsidRPr="000E4315" w:rsidRDefault="00334F11" w:rsidP="000E4315">
            <w:pPr>
              <w:rPr>
                <w:sz w:val="20"/>
                <w:szCs w:val="20"/>
              </w:rPr>
            </w:pPr>
            <w:r w:rsidRPr="00951163">
              <w:rPr>
                <w:sz w:val="20"/>
                <w:szCs w:val="20"/>
              </w:rPr>
              <w:t xml:space="preserve">In supply-chain management, you should use </w:t>
            </w:r>
            <w:r w:rsidRPr="00951163">
              <w:rPr>
                <w:b/>
                <w:bCs/>
                <w:sz w:val="20"/>
                <w:szCs w:val="20"/>
              </w:rPr>
              <w:t>certification status as a selection and monitoring criterion</w:t>
            </w:r>
            <w:r w:rsidRPr="00951163">
              <w:rPr>
                <w:sz w:val="20"/>
                <w:szCs w:val="20"/>
              </w:rPr>
              <w:t>, and reflect that in your supplier register, risk assessments and contracts.</w:t>
            </w:r>
            <w:r w:rsidRPr="0095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2BFB31" w14:textId="77777777" w:rsidR="00334F11" w:rsidRPr="00951163" w:rsidRDefault="00334F11" w:rsidP="000E4315">
            <w:pPr>
              <w:rPr>
                <w:sz w:val="20"/>
                <w:szCs w:val="20"/>
              </w:rPr>
            </w:pPr>
            <w:r w:rsidRPr="00951163">
              <w:rPr>
                <w:sz w:val="20"/>
                <w:szCs w:val="20"/>
              </w:rPr>
              <w:t xml:space="preserve">For supply-chain remote access, choose </w:t>
            </w:r>
            <w:r w:rsidRPr="00951163">
              <w:rPr>
                <w:b/>
                <w:bCs/>
                <w:sz w:val="20"/>
                <w:szCs w:val="20"/>
              </w:rPr>
              <w:t>industry-proof, certified Netop on AWS</w:t>
            </w:r>
            <w:r w:rsidRPr="00951163">
              <w:rPr>
                <w:sz w:val="20"/>
                <w:szCs w:val="20"/>
              </w:rPr>
              <w:t>, leveraging ISO 27001, SOC2, PCI-DSS, FIPS, HIPAA, NIS2-aligned practices and manufacturer certifications where applicable.</w:t>
            </w:r>
          </w:p>
          <w:p w14:paraId="6EB34D60" w14:textId="423AD5E1" w:rsidR="000E4315" w:rsidRPr="000E4315" w:rsidRDefault="00334F11" w:rsidP="000E4315">
            <w:pPr>
              <w:rPr>
                <w:sz w:val="20"/>
                <w:szCs w:val="20"/>
              </w:rPr>
            </w:pPr>
            <w:r w:rsidRPr="00951163">
              <w:rPr>
                <w:sz w:val="20"/>
                <w:szCs w:val="20"/>
              </w:rPr>
              <w:t xml:space="preserve">Deploy as a </w:t>
            </w:r>
            <w:r w:rsidRPr="00951163">
              <w:rPr>
                <w:b/>
                <w:bCs/>
                <w:sz w:val="20"/>
                <w:szCs w:val="20"/>
              </w:rPr>
              <w:t>single secure remote access platform</w:t>
            </w:r>
            <w:r w:rsidRPr="00951163">
              <w:rPr>
                <w:sz w:val="20"/>
                <w:szCs w:val="20"/>
              </w:rPr>
              <w:t xml:space="preserve"> spanning on-prem, cloud, and hybrid/multi-cloud environments, so the same certified control set applies everywhere.</w:t>
            </w:r>
          </w:p>
        </w:tc>
      </w:tr>
    </w:tbl>
    <w:p w14:paraId="18FB6737" w14:textId="77777777" w:rsidR="00031E4D" w:rsidRPr="00951163" w:rsidRDefault="00031E4D">
      <w:pPr>
        <w:rPr>
          <w:sz w:val="20"/>
          <w:szCs w:val="20"/>
        </w:rPr>
      </w:pPr>
    </w:p>
    <w:sectPr w:rsidR="00031E4D" w:rsidRPr="00951163" w:rsidSect="00951163">
      <w:headerReference w:type="default" r:id="rId12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FF1C" w14:textId="77777777" w:rsidR="00EB742F" w:rsidRDefault="00EB742F" w:rsidP="00DE7838">
      <w:pPr>
        <w:spacing w:after="0" w:line="240" w:lineRule="auto"/>
      </w:pPr>
      <w:r>
        <w:separator/>
      </w:r>
    </w:p>
  </w:endnote>
  <w:endnote w:type="continuationSeparator" w:id="0">
    <w:p w14:paraId="052E9130" w14:textId="77777777" w:rsidR="00EB742F" w:rsidRDefault="00EB742F" w:rsidP="00D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CF87" w14:textId="77777777" w:rsidR="00EB742F" w:rsidRDefault="00EB742F" w:rsidP="00DE7838">
      <w:pPr>
        <w:spacing w:after="0" w:line="240" w:lineRule="auto"/>
      </w:pPr>
      <w:r>
        <w:separator/>
      </w:r>
    </w:p>
  </w:footnote>
  <w:footnote w:type="continuationSeparator" w:id="0">
    <w:p w14:paraId="5FCF9BE1" w14:textId="77777777" w:rsidR="00EB742F" w:rsidRDefault="00EB742F" w:rsidP="00D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497B" w14:textId="3E9A4912" w:rsidR="00DE7838" w:rsidRPr="00D1677A" w:rsidRDefault="00D1677A" w:rsidP="00DE7838">
    <w:pPr>
      <w:pStyle w:val="Header"/>
      <w:jc w:val="center"/>
      <w:rPr>
        <w:b/>
        <w:bCs/>
        <w:sz w:val="32"/>
        <w:szCs w:val="32"/>
      </w:rPr>
    </w:pPr>
    <w:r w:rsidRPr="00D1677A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0EE2FC4" wp14:editId="5D73B4DE">
          <wp:simplePos x="0" y="0"/>
          <wp:positionH relativeFrom="column">
            <wp:posOffset>105410</wp:posOffset>
          </wp:positionH>
          <wp:positionV relativeFrom="paragraph">
            <wp:posOffset>-304800</wp:posOffset>
          </wp:positionV>
          <wp:extent cx="636270" cy="423545"/>
          <wp:effectExtent l="0" t="0" r="0" b="0"/>
          <wp:wrapThrough wrapText="bothSides">
            <wp:wrapPolygon edited="0">
              <wp:start x="0" y="0"/>
              <wp:lineTo x="0" y="20402"/>
              <wp:lineTo x="20695" y="20402"/>
              <wp:lineTo x="20695" y="0"/>
              <wp:lineTo x="0" y="0"/>
            </wp:wrapPolygon>
          </wp:wrapThrough>
          <wp:docPr id="1000986021" name="Picture 1" descr="A blue and whit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86021" name="Picture 1" descr="A blue and whit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77A">
      <w:rPr>
        <w:b/>
        <w:bCs/>
        <w:sz w:val="32"/>
        <w:szCs w:val="32"/>
      </w:rPr>
      <w:drawing>
        <wp:anchor distT="0" distB="0" distL="114300" distR="114300" simplePos="0" relativeHeight="251659264" behindDoc="0" locked="0" layoutInCell="1" allowOverlap="1" wp14:anchorId="1E4DEC21" wp14:editId="27F41EF4">
          <wp:simplePos x="0" y="0"/>
          <wp:positionH relativeFrom="column">
            <wp:posOffset>8745415</wp:posOffset>
          </wp:positionH>
          <wp:positionV relativeFrom="paragraph">
            <wp:posOffset>-246185</wp:posOffset>
          </wp:positionV>
          <wp:extent cx="1092506" cy="365174"/>
          <wp:effectExtent l="0" t="0" r="0" b="0"/>
          <wp:wrapNone/>
          <wp:docPr id="5" name="Content Placeholder 27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FCFAE91-C7CC-3D22-91D2-258FFEF51E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27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4FCFAE91-C7CC-3D22-91D2-258FFEF51E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18" t="42659" r="28060" b="42693"/>
                  <a:stretch>
                    <a:fillRect/>
                  </a:stretch>
                </pic:blipFill>
                <pic:spPr>
                  <a:xfrm>
                    <a:off x="0" y="0"/>
                    <a:ext cx="1099839" cy="36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838" w:rsidRPr="00D1677A">
      <w:rPr>
        <w:b/>
        <w:bCs/>
        <w:noProof/>
        <w:sz w:val="32"/>
        <w:szCs w:val="32"/>
      </w:rPr>
      <w:t>Netop NIS2 Source Material for Greece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15"/>
    <w:rsid w:val="00031E4D"/>
    <w:rsid w:val="000E4315"/>
    <w:rsid w:val="0029278E"/>
    <w:rsid w:val="00333B74"/>
    <w:rsid w:val="00334F11"/>
    <w:rsid w:val="00373DB4"/>
    <w:rsid w:val="004C3869"/>
    <w:rsid w:val="00951163"/>
    <w:rsid w:val="00D1677A"/>
    <w:rsid w:val="00DE7838"/>
    <w:rsid w:val="00E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DDF0"/>
  <w15:chartTrackingRefBased/>
  <w15:docId w15:val="{A0102A20-E62F-42CC-9D96-BB1AB445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315"/>
    <w:pPr>
      <w:keepNext/>
      <w:keepLines/>
      <w:spacing w:before="160" w:after="80"/>
      <w:outlineLvl w:val="2"/>
    </w:pPr>
    <w:rPr>
      <w:rFonts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315"/>
    <w:pPr>
      <w:keepNext/>
      <w:keepLines/>
      <w:spacing w:before="80" w:after="40"/>
      <w:outlineLvl w:val="3"/>
    </w:pPr>
    <w:rPr>
      <w:rFonts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315"/>
    <w:pPr>
      <w:keepNext/>
      <w:keepLines/>
      <w:spacing w:before="80" w:after="40"/>
      <w:outlineLvl w:val="4"/>
    </w:pPr>
    <w:rPr>
      <w:rFonts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315"/>
    <w:pPr>
      <w:keepNext/>
      <w:keepLines/>
      <w:spacing w:before="40" w:after="0"/>
      <w:outlineLvl w:val="5"/>
    </w:pPr>
    <w:rPr>
      <w:rFonts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315"/>
    <w:pPr>
      <w:keepNext/>
      <w:keepLines/>
      <w:spacing w:before="40" w:after="0"/>
      <w:outlineLvl w:val="6"/>
    </w:pPr>
    <w:rPr>
      <w:rFonts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315"/>
    <w:pPr>
      <w:keepNext/>
      <w:keepLines/>
      <w:spacing w:after="0"/>
      <w:outlineLvl w:val="7"/>
    </w:pPr>
    <w:rPr>
      <w:rFonts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315"/>
    <w:pPr>
      <w:keepNext/>
      <w:keepLines/>
      <w:spacing w:after="0"/>
      <w:outlineLvl w:val="8"/>
    </w:pPr>
    <w:rPr>
      <w:rFonts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315"/>
    <w:rPr>
      <w:rFonts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315"/>
    <w:rPr>
      <w:rFonts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315"/>
    <w:rPr>
      <w:rFonts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315"/>
    <w:rPr>
      <w:rFonts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315"/>
    <w:rPr>
      <w:rFonts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315"/>
    <w:rPr>
      <w:rFonts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315"/>
    <w:rPr>
      <w:rFonts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315"/>
    <w:pPr>
      <w:numPr>
        <w:ilvl w:val="1"/>
      </w:numPr>
    </w:pPr>
    <w:rPr>
      <w:rFonts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315"/>
    <w:rPr>
      <w:rFonts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3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3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31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838"/>
  </w:style>
  <w:style w:type="paragraph" w:styleId="Footer">
    <w:name w:val="footer"/>
    <w:basedOn w:val="Normal"/>
    <w:link w:val="FooterChar"/>
    <w:uiPriority w:val="99"/>
    <w:unhideWhenUsed/>
    <w:rsid w:val="00DE7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amazon.com/blogs/apn/how-netop-can-help-customers-meet-nis2-directive-requirements-in-the-e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isa.europa.eu/sites/default/files/ncss-map/strategies/national-implementation/EL_LAW_5160_2024_gr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nomothesia.gr/kat-nomothesia-genikou-endiapherontos/n-5160-2024.html?utm_source=chatgpt.com" TargetMode="External"/><Relationship Id="rId11" Type="http://schemas.openxmlformats.org/officeDocument/2006/relationships/hyperlink" Target="https://www.enisa.europa.eu/sites/default/files/ncss-map/strategies/national-implementation/EL_LAW_5160_2024_gr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nisa.europa.eu/sites/default/files/ncss-map/strategies/national-implementation/EL_LAW_5160_2024_gr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nisa.europa.eu/sites/default/files/ncss-map/strategies/national-implementation/EL_LAW_5160_2024_gr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Herda</dc:creator>
  <cp:keywords/>
  <dc:description/>
  <cp:lastModifiedBy>Paul Herda</cp:lastModifiedBy>
  <cp:revision>3</cp:revision>
  <dcterms:created xsi:type="dcterms:W3CDTF">2025-12-11T17:12:00Z</dcterms:created>
  <dcterms:modified xsi:type="dcterms:W3CDTF">2025-12-11T17:35:00Z</dcterms:modified>
</cp:coreProperties>
</file>